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BC" w:rsidRDefault="002F31BC" w:rsidP="002F31BC">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019/19.</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PROCESSO Nº 041/19.</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F63682">
        <w:rPr>
          <w:rFonts w:ascii="Times New Roman" w:hAnsi="Times New Roman" w:cs="Times New Roman"/>
          <w:b/>
          <w:bCs/>
          <w:sz w:val="20"/>
          <w:szCs w:val="20"/>
        </w:rPr>
        <w:t xml:space="preserve">27 de março </w:t>
      </w:r>
      <w:r>
        <w:rPr>
          <w:rFonts w:ascii="Times New Roman" w:hAnsi="Times New Roman" w:cs="Times New Roman"/>
          <w:b/>
          <w:bCs/>
          <w:sz w:val="20"/>
          <w:szCs w:val="20"/>
        </w:rPr>
        <w:t>2019.</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F63682">
        <w:rPr>
          <w:rFonts w:ascii="Times New Roman" w:hAnsi="Times New Roman" w:cs="Times New Roman"/>
          <w:b/>
          <w:bCs/>
          <w:sz w:val="20"/>
          <w:szCs w:val="20"/>
        </w:rPr>
        <w:t>08</w:t>
      </w:r>
      <w:r>
        <w:rPr>
          <w:rFonts w:ascii="Times New Roman" w:hAnsi="Times New Roman" w:cs="Times New Roman"/>
          <w:b/>
          <w:bCs/>
          <w:sz w:val="20"/>
          <w:szCs w:val="20"/>
        </w:rPr>
        <w:t>:</w:t>
      </w:r>
      <w:r w:rsidR="00F63682">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F63682">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2F31BC" w:rsidRDefault="002F31BC" w:rsidP="002F31BC">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2F31BC" w:rsidRDefault="002F31BC" w:rsidP="002F31BC">
      <w:pPr>
        <w:pStyle w:val="ParagraphStyle"/>
        <w:ind w:left="1080" w:hanging="1080"/>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AQUISIÇÃO DE MEDICAMENTOS QUE SERÃO NECESSÁRIOS PARA ATENDER AOS PACIENTES DO MUNICÍPIO DE FERNANDÓPOLIS/SP, COM DETERMINAÇÃO JUDICIAL, MEDIANTE APRESENTAÇÃO DE RECEITA MÉDICA, COM PREVISÃO DE CONSUMO PARCELADAMENTE EM ATÉ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F63682">
        <w:rPr>
          <w:rFonts w:ascii="Times New Roman" w:hAnsi="Times New Roman" w:cs="Times New Roman"/>
          <w:b/>
          <w:bCs/>
          <w:sz w:val="20"/>
          <w:szCs w:val="20"/>
        </w:rPr>
        <w:t>08</w:t>
      </w:r>
      <w:r>
        <w:rPr>
          <w:rFonts w:ascii="Times New Roman" w:hAnsi="Times New Roman" w:cs="Times New Roman"/>
          <w:b/>
          <w:bCs/>
          <w:sz w:val="20"/>
          <w:szCs w:val="20"/>
        </w:rPr>
        <w:t>:</w:t>
      </w:r>
      <w:r w:rsidR="00F63682">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F63682">
        <w:rPr>
          <w:rFonts w:ascii="Times New Roman" w:hAnsi="Times New Roman" w:cs="Times New Roman"/>
          <w:b/>
          <w:bCs/>
          <w:sz w:val="20"/>
          <w:szCs w:val="20"/>
        </w:rPr>
        <w:t>27 de março 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2F31BC" w:rsidRPr="00756D43" w:rsidRDefault="002F31BC" w:rsidP="002F31BC">
      <w:pPr>
        <w:widowControl w:val="0"/>
        <w:autoSpaceDE w:val="0"/>
        <w:autoSpaceDN w:val="0"/>
        <w:adjustRightInd w:val="0"/>
        <w:spacing w:after="0" w:line="240" w:lineRule="auto"/>
        <w:jc w:val="both"/>
        <w:rPr>
          <w:rFonts w:ascii="Times New Roman" w:eastAsia="Times New Roman" w:hAnsi="Times New Roman"/>
          <w:b/>
          <w:bCs/>
          <w:lang w:eastAsia="pt-BR"/>
        </w:rPr>
      </w:pPr>
      <w:r w:rsidRPr="00756D43">
        <w:rPr>
          <w:rFonts w:ascii="Times New Roman" w:eastAsia="Times New Roman" w:hAnsi="Times New Roman"/>
          <w:b/>
          <w:bCs/>
          <w:lang w:eastAsia="pt-BR"/>
        </w:rPr>
        <w:t>A SESSÃO DE PREGÃO SE ENCERRARÁ ÀS 17:00 HORAS, IMPRETERIVELMENTE, PODENDO SER PRORROGADA, SE NECESSÁRIO, A CRITÉRIO DO PREGOEIRO. CASO A SESSÃO SEJA INTERROMPIDA, POR QUALQUER MOTIVO, FICA DESIGNADO O PRIMEIRO ÚTIL SUBSEQUENTE, ÀS 08:30 HORAS PARA PROSSEGUIMENTO DA MESMA, USANDO, POR ANALOGIA, O ART. 455 DO CÓDIGO DE PROCESSO CIVIL.</w:t>
      </w:r>
    </w:p>
    <w:p w:rsidR="002F31BC" w:rsidRP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spacing w:after="200" w:line="276" w:lineRule="auto"/>
        <w:jc w:val="both"/>
        <w:rPr>
          <w:rFonts w:ascii="Times New Roman" w:hAnsi="Times New Roman" w:cs="Times New Roman"/>
          <w:b/>
          <w:bCs/>
          <w:color w:val="C00000"/>
          <w:sz w:val="20"/>
          <w:szCs w:val="20"/>
        </w:rPr>
      </w:pPr>
      <w:r>
        <w:rPr>
          <w:rFonts w:ascii="Times New Roman" w:hAnsi="Times New Roman" w:cs="Times New Roman"/>
          <w:b/>
          <w:bCs/>
          <w:color w:val="C00000"/>
          <w:sz w:val="20"/>
          <w:szCs w:val="20"/>
        </w:rPr>
        <w:t xml:space="preserve">A ENTIDADE DISPONIBILIZA DE ARQUIVO XML COM OS ITENS A SEREM LICITADOS PARA QUE SEJAM PREENCHIDOS COM OS DEVIDOS VALORES PROPOSTOS NA FINALIDADE DE </w:t>
      </w:r>
      <w:proofErr w:type="gramStart"/>
      <w:r>
        <w:rPr>
          <w:rFonts w:ascii="Times New Roman" w:hAnsi="Times New Roman" w:cs="Times New Roman"/>
          <w:b/>
          <w:bCs/>
          <w:color w:val="C00000"/>
          <w:sz w:val="20"/>
          <w:szCs w:val="20"/>
        </w:rPr>
        <w:t>AGILIZAR</w:t>
      </w:r>
      <w:proofErr w:type="gramEnd"/>
      <w:r>
        <w:rPr>
          <w:rFonts w:ascii="Times New Roman" w:hAnsi="Times New Roman" w:cs="Times New Roman"/>
          <w:b/>
          <w:bCs/>
          <w:color w:val="C00000"/>
          <w:sz w:val="20"/>
          <w:szCs w:val="20"/>
        </w:rPr>
        <w:t xml:space="preserve"> OS PROCEDIMENTOS DURANTE A SESSAO DO PREGAO EM EPÍGRAFE. O ARQUIVO XML PODE SER ADQUIRIDO POR MEIO DO LINK </w:t>
      </w:r>
      <w:hyperlink r:id="rId8" w:history="1">
        <w:r>
          <w:rPr>
            <w:rFonts w:ascii="Times New Roman" w:hAnsi="Times New Roman" w:cs="Times New Roman"/>
            <w:b/>
            <w:bCs/>
            <w:color w:val="0000FF"/>
            <w:sz w:val="20"/>
            <w:szCs w:val="20"/>
            <w:u w:val="single"/>
          </w:rPr>
          <w:t>http://www.fernandopolis.sp.gov.br/</w:t>
        </w:r>
      </w:hyperlink>
      <w:r>
        <w:rPr>
          <w:rFonts w:ascii="Times New Roman" w:hAnsi="Times New Roman" w:cs="Times New Roman"/>
          <w:b/>
          <w:bCs/>
          <w:color w:val="C00000"/>
          <w:sz w:val="20"/>
          <w:szCs w:val="20"/>
        </w:rPr>
        <w:t xml:space="preserve"> NA SESSAO DE PUBLICAÇÕES OU SOLICITADO VIA EMAIL PARA O ENDEREÇO </w:t>
      </w:r>
      <w:hyperlink r:id="rId9" w:history="1">
        <w:r>
          <w:rPr>
            <w:rFonts w:ascii="Times New Roman" w:hAnsi="Times New Roman" w:cs="Times New Roman"/>
            <w:b/>
            <w:bCs/>
            <w:color w:val="0000FF"/>
            <w:sz w:val="20"/>
            <w:szCs w:val="20"/>
            <w:u w:val="single"/>
          </w:rPr>
          <w:t>compras@fernandopolis.sp.gov.br</w:t>
        </w:r>
      </w:hyperlink>
      <w:r>
        <w:rPr>
          <w:rFonts w:ascii="Times New Roman" w:hAnsi="Times New Roman" w:cs="Times New Roman"/>
          <w:b/>
          <w:bCs/>
          <w:color w:val="C00000"/>
          <w:sz w:val="20"/>
          <w:szCs w:val="20"/>
        </w:rPr>
        <w:t xml:space="preserve"> </w:t>
      </w:r>
    </w:p>
    <w:p w:rsidR="002F31BC" w:rsidRDefault="002F31BC" w:rsidP="002F31BC">
      <w:pPr>
        <w:pStyle w:val="ParagraphStyle"/>
        <w:spacing w:after="200" w:line="276" w:lineRule="auto"/>
        <w:jc w:val="both"/>
        <w:rPr>
          <w:rFonts w:ascii="Times New Roman" w:hAnsi="Times New Roman" w:cs="Times New Roman"/>
          <w:b/>
          <w:bCs/>
          <w:color w:val="C00000"/>
          <w:sz w:val="20"/>
          <w:szCs w:val="20"/>
        </w:rPr>
      </w:pPr>
      <w:r>
        <w:rPr>
          <w:rFonts w:ascii="Times New Roman" w:hAnsi="Times New Roman" w:cs="Times New Roman"/>
          <w:b/>
          <w:bCs/>
          <w:color w:val="C00000"/>
          <w:sz w:val="20"/>
          <w:szCs w:val="20"/>
        </w:rPr>
        <w:t xml:space="preserve">PARA ABRIR E PREENCHER O ARQUIVO "XML" É NECESSARIO UTILIZAR A APLICAÇÃO COTACAO.EXE QUE PODE SER BAIXADO POR MEIO DO </w:t>
      </w:r>
      <w:proofErr w:type="gramStart"/>
      <w:r>
        <w:rPr>
          <w:rFonts w:ascii="Times New Roman" w:hAnsi="Times New Roman" w:cs="Times New Roman"/>
          <w:b/>
          <w:bCs/>
          <w:color w:val="C00000"/>
          <w:sz w:val="20"/>
          <w:szCs w:val="20"/>
        </w:rPr>
        <w:t>LINK:</w:t>
      </w:r>
      <w:bookmarkStart w:id="0" w:name="OLE_LINK3"/>
      <w:bookmarkEnd w:id="0"/>
      <w:proofErr w:type="gramEnd"/>
      <w:r w:rsidR="00235835">
        <w:rPr>
          <w:rFonts w:ascii="Times New Roman" w:hAnsi="Times New Roman" w:cs="Times New Roman"/>
          <w:b/>
          <w:bCs/>
          <w:color w:val="C00000"/>
          <w:sz w:val="20"/>
          <w:szCs w:val="20"/>
        </w:rPr>
        <w:fldChar w:fldCharType="begin"/>
      </w:r>
      <w:r>
        <w:rPr>
          <w:rFonts w:ascii="Times New Roman" w:hAnsi="Times New Roman" w:cs="Times New Roman"/>
          <w:b/>
          <w:bCs/>
          <w:color w:val="C00000"/>
          <w:sz w:val="20"/>
          <w:szCs w:val="20"/>
        </w:rPr>
        <w:instrText>HYPERLINK "http://www.fiorilli.com.br/Cotacao.exe"</w:instrText>
      </w:r>
      <w:r w:rsidR="00235835">
        <w:rPr>
          <w:rFonts w:ascii="Times New Roman" w:hAnsi="Times New Roman" w:cs="Times New Roman"/>
          <w:b/>
          <w:bCs/>
          <w:color w:val="C00000"/>
          <w:sz w:val="20"/>
          <w:szCs w:val="20"/>
        </w:rPr>
        <w:fldChar w:fldCharType="separate"/>
      </w:r>
      <w:r>
        <w:rPr>
          <w:rFonts w:ascii="Times New Roman" w:hAnsi="Times New Roman" w:cs="Times New Roman"/>
          <w:b/>
          <w:bCs/>
          <w:color w:val="0000FF"/>
          <w:sz w:val="20"/>
          <w:szCs w:val="20"/>
          <w:u w:val="single"/>
        </w:rPr>
        <w:t>http://www.fiorilli.com.br/Cotacao.exe</w:t>
      </w:r>
      <w:r w:rsidR="00235835">
        <w:rPr>
          <w:rFonts w:ascii="Times New Roman" w:hAnsi="Times New Roman" w:cs="Times New Roman"/>
          <w:b/>
          <w:bCs/>
          <w:color w:val="C00000"/>
          <w:sz w:val="20"/>
          <w:szCs w:val="20"/>
        </w:rPr>
        <w:fldChar w:fldCharType="end"/>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2F31BC" w:rsidRDefault="002F31BC" w:rsidP="002F31BC">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AQUISIÇÃO DE MEDICAMENTOS QUE SERÃO NECESSÁRIOS PARA ATENDER AOS PACIENTES DO MUNICÍPIO DE FERNANDÓPOLIS/SP, COM DETERMINAÇÃO JUDICIAL, MEDIANTE APRESENTAÇÃO DE RECEITA MÉDICA, COM PREVISÃO DE CONSUMO PARCELADAMENTE EM ATÉ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2F31BC" w:rsidRDefault="002F31BC" w:rsidP="002F31BC">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F63682" w:rsidRDefault="00F63682" w:rsidP="002F31BC">
      <w:pPr>
        <w:pStyle w:val="ParagraphStyle"/>
        <w:jc w:val="both"/>
        <w:rPr>
          <w:rFonts w:ascii="Times New Roman" w:hAnsi="Times New Roman" w:cs="Times New Roman"/>
          <w:sz w:val="20"/>
          <w:szCs w:val="20"/>
        </w:rPr>
      </w:pPr>
    </w:p>
    <w:p w:rsidR="002F31BC" w:rsidRPr="00756D43" w:rsidRDefault="002F31BC" w:rsidP="002F31BC">
      <w:pPr>
        <w:widowControl w:val="0"/>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756D43">
        <w:rPr>
          <w:rFonts w:ascii="Times New Roman" w:eastAsia="Times New Roman" w:hAnsi="Times New Roman"/>
          <w:b/>
          <w:color w:val="000000"/>
          <w:sz w:val="20"/>
          <w:szCs w:val="20"/>
          <w:lang w:eastAsia="pt-BR"/>
        </w:rPr>
        <w:lastRenderedPageBreak/>
        <w:t xml:space="preserve">1.6. OS MEDICAMENTOS DEVERÃO CONTER A INSCRIÇÃO: </w:t>
      </w:r>
      <w:proofErr w:type="gramStart"/>
      <w:r w:rsidRPr="00756D43">
        <w:rPr>
          <w:rFonts w:ascii="Times New Roman" w:eastAsia="Times New Roman" w:hAnsi="Times New Roman"/>
          <w:b/>
          <w:color w:val="000000"/>
          <w:sz w:val="20"/>
          <w:szCs w:val="20"/>
          <w:lang w:eastAsia="pt-BR"/>
        </w:rPr>
        <w:t>“PROIBIDA A VENDA NO COMÉRCIO ESTAMPADO NA PARTE EXTERNA DA EMBALAGEM, CONFORME ART. 7º DA PORTARIA Nº 2.814/GM DE 29 DE MAIO DE 1.998.</w:t>
      </w:r>
      <w:proofErr w:type="gramEnd"/>
    </w:p>
    <w:p w:rsidR="002F31BC" w:rsidRDefault="002F31BC" w:rsidP="002F31BC">
      <w:pPr>
        <w:autoSpaceDE w:val="0"/>
        <w:autoSpaceDN w:val="0"/>
        <w:adjustRightInd w:val="0"/>
        <w:spacing w:after="0" w:line="240" w:lineRule="auto"/>
        <w:jc w:val="both"/>
        <w:rPr>
          <w:rFonts w:ascii="Times New Roman" w:hAnsi="Times New Roman"/>
          <w:b/>
          <w:bCs/>
          <w:sz w:val="20"/>
          <w:szCs w:val="20"/>
          <w:lang w:eastAsia="pt-BR"/>
        </w:rPr>
      </w:pPr>
    </w:p>
    <w:p w:rsidR="002F31BC" w:rsidRPr="00756D43" w:rsidRDefault="002F31BC" w:rsidP="002F31BC">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756D43">
        <w:rPr>
          <w:rFonts w:ascii="Times New Roman" w:eastAsia="Times New Roman" w:hAnsi="Times New Roman"/>
          <w:b/>
          <w:color w:val="000000"/>
          <w:sz w:val="20"/>
          <w:szCs w:val="20"/>
          <w:lang w:eastAsia="pt-BR"/>
        </w:rPr>
        <w:t xml:space="preserve">1.7. TODOS OS MEDICAMENTOS DEVERÃO SER LICITADOS DE ACORDO COM OS PREÇOS DO ORÇAMENTO ANEXADO AOS </w:t>
      </w:r>
      <w:r w:rsidRPr="00756D43">
        <w:rPr>
          <w:rFonts w:ascii="Times New Roman" w:eastAsia="Times New Roman" w:hAnsi="Times New Roman"/>
          <w:b/>
          <w:sz w:val="20"/>
          <w:szCs w:val="20"/>
          <w:lang w:eastAsia="pt-BR"/>
        </w:rPr>
        <w:t>AUTOS E/OU DA CÂMARA DE REGULAÇÃO DO MERCADO DE MEDICAMENTOS (CMED) PUBLICADOS PELA AGÊNCIA</w:t>
      </w:r>
      <w:r w:rsidRPr="00756D43">
        <w:rPr>
          <w:rFonts w:ascii="Times New Roman" w:eastAsia="Times New Roman" w:hAnsi="Times New Roman"/>
          <w:b/>
          <w:color w:val="000000"/>
          <w:sz w:val="20"/>
          <w:szCs w:val="20"/>
          <w:lang w:eastAsia="pt-BR"/>
        </w:rPr>
        <w:t xml:space="preserve"> NACIONAL DE VIGILÂNCIA SANITÁRIA, LISTA ESTA QUE APRESENTA O PREÇO DE FÁBRICA (PF), OU SEJA, O TETO DO PREÇO PELO QUAL UM LABORATÓRIO OU DISTRIBUIDOR DE MEDICAMENTOS PODE COMERCIALIZAR NO MERCADO BRASILEIRO UM MEDICAMENTO, O QUE FOR MENOR. ESCLARECE QUE O “PF” VEM A SER O PREÇO MÁXIMO PERMITIDO PARA VENDAS DE MEDICAMENTOS DESTINADOS A FARMÁCIAS, DROGARIAS E DESTINADAS A ADMINISTRAÇÃO PÚBLICA. PORTANTO, TODOS OS PARTICIPANTES DA LICITAÇÃO DEVERÃO SEGUIR ESTES TETOS, DE ACORDO COM AS ESPECIFICAÇÕES E, CASO OS ULTRAPASSE, O PREÇO OFERECIDO NÃO SERÁ ACEITO.</w:t>
      </w:r>
    </w:p>
    <w:p w:rsidR="002F31BC" w:rsidRDefault="002F31BC" w:rsidP="002F31BC">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756D43">
        <w:rPr>
          <w:rFonts w:ascii="Times New Roman" w:eastAsia="Times New Roman" w:hAnsi="Times New Roman"/>
          <w:b/>
          <w:color w:val="000000"/>
          <w:sz w:val="20"/>
          <w:szCs w:val="20"/>
          <w:lang w:eastAsia="pt-BR"/>
        </w:rPr>
        <w:t>A- A AQUISIÇÃO DESTES MEDICAMENTOS REGE-SE PELA LEGISLAÇÃO DA CÂMARA DE REGULAÇÃO DE MEDICAMENTOS - CMED/ANVISA, NAQUILO QUE COUBER, SENDO NECESSÁRIO RESPEITAR O PREÇO TETO MÁXIMO ESTABELECIDO NA TABELA CMDE PARA AQUISIÇÕES PÚBLICAS DE MEDICAMENTOS OFERTADOS/COTADOS, INCLUSIVE QUANTO A MARCA OFERTADA;</w:t>
      </w:r>
    </w:p>
    <w:p w:rsidR="002F31BC" w:rsidRDefault="002F31BC" w:rsidP="002F31BC">
      <w:pPr>
        <w:autoSpaceDE w:val="0"/>
        <w:autoSpaceDN w:val="0"/>
        <w:adjustRightInd w:val="0"/>
        <w:spacing w:after="0" w:line="240" w:lineRule="auto"/>
        <w:jc w:val="both"/>
        <w:rPr>
          <w:rFonts w:ascii="Times New Roman" w:eastAsia="Times New Roman" w:hAnsi="Times New Roman"/>
          <w:b/>
          <w:color w:val="000000"/>
          <w:sz w:val="20"/>
          <w:szCs w:val="20"/>
          <w:lang w:eastAsia="pt-BR"/>
        </w:rPr>
      </w:pPr>
    </w:p>
    <w:p w:rsidR="002F31BC" w:rsidRPr="002F31BC" w:rsidRDefault="002F31BC" w:rsidP="002F31BC">
      <w:pPr>
        <w:spacing w:after="0" w:line="240" w:lineRule="auto"/>
        <w:rPr>
          <w:rFonts w:ascii="Times New Roman" w:eastAsiaTheme="minorHAnsi" w:hAnsi="Times New Roman"/>
          <w:b/>
          <w:sz w:val="20"/>
          <w:szCs w:val="20"/>
          <w:u w:val="single"/>
        </w:rPr>
      </w:pPr>
      <w:r w:rsidRPr="002F31BC">
        <w:rPr>
          <w:rFonts w:ascii="Times New Roman" w:eastAsiaTheme="minorHAnsi" w:hAnsi="Times New Roman"/>
          <w:b/>
          <w:sz w:val="20"/>
          <w:szCs w:val="20"/>
          <w:u w:val="single"/>
        </w:rPr>
        <w:t>TERMO DE APLICAÇÃO DO COEFICIENTE</w:t>
      </w:r>
    </w:p>
    <w:p w:rsidR="002F31BC" w:rsidRPr="002F31BC" w:rsidRDefault="002F31BC" w:rsidP="002F31BC">
      <w:pPr>
        <w:spacing w:after="0" w:line="240" w:lineRule="auto"/>
        <w:rPr>
          <w:rFonts w:ascii="Times New Roman" w:eastAsiaTheme="minorHAnsi" w:hAnsi="Times New Roman"/>
          <w:sz w:val="20"/>
          <w:szCs w:val="20"/>
        </w:rPr>
      </w:pPr>
    </w:p>
    <w:p w:rsidR="002F31BC" w:rsidRPr="002F31BC" w:rsidRDefault="002F31BC" w:rsidP="002F31BC">
      <w:pPr>
        <w:spacing w:after="0" w:line="240" w:lineRule="auto"/>
        <w:rPr>
          <w:rFonts w:ascii="Times New Roman" w:eastAsiaTheme="minorHAnsi" w:hAnsi="Times New Roman"/>
          <w:sz w:val="20"/>
          <w:szCs w:val="20"/>
        </w:rPr>
      </w:pPr>
      <w:r w:rsidRPr="002F31BC">
        <w:rPr>
          <w:rFonts w:ascii="Times New Roman" w:eastAsiaTheme="minorHAnsi" w:hAnsi="Times New Roman"/>
          <w:sz w:val="20"/>
          <w:szCs w:val="20"/>
        </w:rPr>
        <w:t xml:space="preserve">PMVG=PF * (1 – CAP) </w:t>
      </w:r>
    </w:p>
    <w:p w:rsidR="002F31BC" w:rsidRPr="002F31BC" w:rsidRDefault="002F31BC" w:rsidP="002F31BC">
      <w:pPr>
        <w:spacing w:after="0" w:line="240" w:lineRule="auto"/>
        <w:rPr>
          <w:rFonts w:ascii="Times New Roman" w:eastAsiaTheme="minorHAnsi" w:hAnsi="Times New Roman"/>
          <w:sz w:val="20"/>
          <w:szCs w:val="20"/>
        </w:rPr>
      </w:pPr>
      <w:r w:rsidRPr="002F31BC">
        <w:rPr>
          <w:rFonts w:ascii="Times New Roman" w:eastAsiaTheme="minorHAnsi" w:hAnsi="Times New Roman"/>
          <w:sz w:val="20"/>
          <w:szCs w:val="20"/>
        </w:rPr>
        <w:t>ONDE:</w:t>
      </w:r>
    </w:p>
    <w:p w:rsidR="002F31BC" w:rsidRPr="002F31BC" w:rsidRDefault="002F31BC" w:rsidP="002F31BC">
      <w:pPr>
        <w:spacing w:after="0" w:line="240" w:lineRule="auto"/>
        <w:rPr>
          <w:rFonts w:ascii="Times New Roman" w:eastAsiaTheme="minorHAnsi" w:hAnsi="Times New Roman"/>
          <w:sz w:val="20"/>
          <w:szCs w:val="20"/>
        </w:rPr>
      </w:pPr>
      <w:r w:rsidRPr="002F31BC">
        <w:rPr>
          <w:rFonts w:ascii="Times New Roman" w:eastAsiaTheme="minorHAnsi" w:hAnsi="Times New Roman"/>
          <w:sz w:val="20"/>
          <w:szCs w:val="20"/>
        </w:rPr>
        <w:t xml:space="preserve">PMVG: PREÇO MÁXIMO DE VENDA AO GOVERNO </w:t>
      </w:r>
    </w:p>
    <w:p w:rsidR="002F31BC" w:rsidRPr="002F31BC" w:rsidRDefault="002F31BC" w:rsidP="002F31BC">
      <w:pPr>
        <w:spacing w:after="0" w:line="240" w:lineRule="auto"/>
        <w:rPr>
          <w:rFonts w:ascii="Times New Roman" w:eastAsiaTheme="minorHAnsi" w:hAnsi="Times New Roman"/>
          <w:sz w:val="20"/>
          <w:szCs w:val="20"/>
        </w:rPr>
      </w:pPr>
      <w:r w:rsidRPr="002F31BC">
        <w:rPr>
          <w:rFonts w:ascii="Times New Roman" w:eastAsiaTheme="minorHAnsi" w:hAnsi="Times New Roman"/>
          <w:sz w:val="20"/>
          <w:szCs w:val="20"/>
        </w:rPr>
        <w:t>PF: PREÇO DE FÁBRICA</w:t>
      </w:r>
    </w:p>
    <w:p w:rsidR="002F31BC" w:rsidRPr="002F31BC" w:rsidRDefault="002F31BC" w:rsidP="002F31BC">
      <w:pPr>
        <w:spacing w:after="0" w:line="240" w:lineRule="auto"/>
        <w:rPr>
          <w:rFonts w:ascii="Times New Roman" w:eastAsiaTheme="minorHAnsi" w:hAnsi="Times New Roman"/>
          <w:sz w:val="20"/>
          <w:szCs w:val="20"/>
        </w:rPr>
      </w:pPr>
      <w:r w:rsidRPr="002F31BC">
        <w:rPr>
          <w:rFonts w:ascii="Times New Roman" w:eastAsiaTheme="minorHAnsi" w:hAnsi="Times New Roman"/>
          <w:sz w:val="20"/>
          <w:szCs w:val="20"/>
        </w:rPr>
        <w:t>CAP: COEFICIENTE DE ADEQUAÇÃO DE PREÇO (MAIOR OU IGUAL A 19,28%)</w:t>
      </w:r>
    </w:p>
    <w:p w:rsidR="002F31BC" w:rsidRPr="002F31BC" w:rsidRDefault="002F31BC" w:rsidP="002F31BC">
      <w:pPr>
        <w:spacing w:after="0" w:line="240" w:lineRule="auto"/>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b/>
          <w:sz w:val="20"/>
          <w:szCs w:val="20"/>
          <w:u w:val="single"/>
        </w:rPr>
        <w:t>CAP:</w:t>
      </w:r>
      <w:r w:rsidRPr="002F31BC">
        <w:rPr>
          <w:rFonts w:ascii="Times New Roman" w:eastAsiaTheme="minorHAnsi" w:hAnsi="Times New Roman"/>
          <w:sz w:val="20"/>
          <w:szCs w:val="20"/>
        </w:rPr>
        <w:t xml:space="preserve"> COEFICIENTE DE ADEQUAÇÃO DE PREÇOS – CAP É UM DESCONTO MÍNIMO OBRIGATÓRIO, INCIDENTE SOBRE O PREÇO DE FÁBRICA - PF DE ALGUNS MEDICAMENTOS NAS COMPRAS REALIZADAS PELOS ENTES DA ADMINISTRAÇÃO PÚBLICA DIRETA E INDIRETA DA UNIÃO, DOS ESTADOS, DO DISTRITO FEDERAL E DOS MUNICÍPIOS. </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b/>
          <w:sz w:val="20"/>
          <w:szCs w:val="20"/>
          <w:u w:val="single"/>
        </w:rPr>
        <w:t>PMVG:</w:t>
      </w:r>
      <w:r w:rsidRPr="002F31BC">
        <w:rPr>
          <w:rFonts w:ascii="Times New Roman" w:eastAsiaTheme="minorHAnsi" w:hAnsi="Times New Roman"/>
          <w:sz w:val="20"/>
          <w:szCs w:val="20"/>
        </w:rPr>
        <w:t xml:space="preserve"> PREÇO MÁXIMO DE VENDA AO GOVERNO, QUE RESULTA DA APLICAÇÃO DO CAP SOBRE O PREÇO DE FÁBRICA – PF, OU SEJA, O MAIOR PREÇO PERMITIDO PARA VENDA DO MEDICAMENTO A ENTES DA ADMINISTRAÇÃO PÚBLICA. </w:t>
      </w:r>
    </w:p>
    <w:p w:rsidR="002F31BC" w:rsidRPr="002F31BC" w:rsidRDefault="002F31BC" w:rsidP="002F31BC">
      <w:pPr>
        <w:spacing w:after="0" w:line="240" w:lineRule="auto"/>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b/>
          <w:sz w:val="20"/>
          <w:szCs w:val="20"/>
          <w:u w:val="single"/>
        </w:rPr>
        <w:t>PREÇO DE FÁBRICA (PF):</w:t>
      </w:r>
      <w:r w:rsidRPr="002F31BC">
        <w:rPr>
          <w:rFonts w:ascii="Times New Roman" w:eastAsiaTheme="minorHAnsi" w:hAnsi="Times New Roman"/>
          <w:sz w:val="20"/>
          <w:szCs w:val="20"/>
        </w:rPr>
        <w:t xml:space="preserve"> É O PREÇO PRATICADO PELAS EMPRESAS PRODUTORAS OU IMPORTADORAS DO PRODUTO E PELAS EMPRESAS DISTRIBUIDORAS. O PREÇO DE FÁBRICA É O PREÇO MÁXIMO PERMITIDO PARA VENDA A FARMÁCIAS, DROGARIAS E PARA ENTES DA ADMINISTRAÇÃO PÚBLICA. AS VENDAS DE MEDICAMENTOS EFETUADAS PARA ENTES DA ADMINISTRAÇÃO PÚBLICA. AS VENDAS E MEDICAMENTOS </w:t>
      </w:r>
      <w:proofErr w:type="gramStart"/>
      <w:r w:rsidRPr="002F31BC">
        <w:rPr>
          <w:rFonts w:ascii="Times New Roman" w:eastAsiaTheme="minorHAnsi" w:hAnsi="Times New Roman"/>
          <w:sz w:val="20"/>
          <w:szCs w:val="20"/>
        </w:rPr>
        <w:t>EFETUADAS</w:t>
      </w:r>
      <w:proofErr w:type="gramEnd"/>
      <w:r w:rsidRPr="002F31BC">
        <w:rPr>
          <w:rFonts w:ascii="Times New Roman" w:eastAsiaTheme="minorHAnsi" w:hAnsi="Times New Roman"/>
          <w:sz w:val="20"/>
          <w:szCs w:val="20"/>
        </w:rPr>
        <w:t xml:space="preserve"> PARA ENTES DA ADMINISTRAÇÃO PÚBLICA TAMBÉM DEVEM RESPEITAR O PREÇO MÁXIMO DE VENDA AO GOVERNO - PMVG, NOS CASOS DE OBRIGATORIEDADE DE APLICAÇÃO DO COEFICIENTE DE ADEQUAÇÃO DE PREÇO - CAP. </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b/>
          <w:sz w:val="20"/>
          <w:szCs w:val="20"/>
          <w:u w:val="single"/>
        </w:rPr>
        <w:t>PRODUTOS SUJEITOS AO CAP:</w:t>
      </w:r>
      <w:r w:rsidRPr="002F31BC">
        <w:rPr>
          <w:rFonts w:ascii="Times New Roman" w:eastAsiaTheme="minorHAnsi" w:hAnsi="Times New Roman"/>
          <w:sz w:val="20"/>
          <w:szCs w:val="20"/>
        </w:rPr>
        <w:t xml:space="preserve"> A SECRETARIA-EXECUTIVA DA CÂMARA DE REGULAÇÃO DO MERCADO DE MEDICAMENTOS (CMED) PUBLICA A RELAÇÃO DE PRODUTOS CUJOS PREÇOS SERÃO SUBMETIDOS AO CAP. ATUALMENTE FAZEM PARTE DE LISTA DE PRODUTOS SUJEITOS AO DESCONTO, MEDICAMENTOS CONSTANTES DO “PROGRAMA DE COMPONENTE ESPECIALIZADO DA ASSISTÊNCIA FARMACÊUTICA” (DE ALTO CUSTO OU PARA USO CONTINUADO), DOS HEMODERIVADOS E DOS MEDICAMENTOS INDICADOS PARA O TRATAMENTO DE DST/AIDS E CÂNCER. ALÉM DESSES, O CAP TAMBÉM SE APLICA NAS COMPRAS PÚBLICAS DE QUALQUER MEDICAMENTO ADQUIRIDO POR FORÇA DE DECISÃO JUDICIAL, INDEPENDENTE DE CONSTAREM DA RELAÇÃO DE PRODUTOS CUJOS PREÇOS SERÃO SUBMETIDOS AO CAP (RESOLUÇÕES CMED Nº 3/2011, Nº 4/2006, Nº 2/2004 E ALTERAÇÕES). A LISTA DE PRODUTOS SUJEITOS AO CAP ENCONTRA-SE NO COMUNICADO CMED Nº 2/2012.</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b/>
          <w:sz w:val="20"/>
          <w:szCs w:val="20"/>
          <w:u w:val="single"/>
        </w:rPr>
        <w:lastRenderedPageBreak/>
        <w:t>QUEM ESTÁ OBRIGADO A APLICAR O CAP:</w:t>
      </w:r>
      <w:r w:rsidRPr="002F31BC">
        <w:rPr>
          <w:rFonts w:ascii="Times New Roman" w:eastAsiaTheme="minorHAnsi" w:hAnsi="Times New Roman"/>
          <w:sz w:val="20"/>
          <w:szCs w:val="20"/>
        </w:rPr>
        <w:t xml:space="preserve"> QUALQUER PESSOA JURÍDICA (DISTRIBUIDORAS, EMPRESAS PRODUTORAS DE MEDICAMENTOS, REPRESENTANTES, POSTOS DE MEDICAMENTOS, UNIDADES VOLANTES, FARMÁCIAS DE DROGARIAS) QUE DESEJE VENDER MEDICAMENTOS, SOBRE OS QUAIS INCIDA O CAP, AOS ENTES DA ADMINISTRAÇÃO PÚBLICA DIRETA OU INDIRETA DA UNIÃO, ESTADOS, DISTRITO FEDERAL E MUNICÍPIOS. </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b/>
          <w:sz w:val="20"/>
          <w:szCs w:val="20"/>
          <w:u w:val="single"/>
        </w:rPr>
      </w:pPr>
      <w:r w:rsidRPr="002F31BC">
        <w:rPr>
          <w:rFonts w:ascii="Times New Roman" w:eastAsiaTheme="minorHAnsi" w:hAnsi="Times New Roman"/>
          <w:b/>
          <w:sz w:val="20"/>
          <w:szCs w:val="20"/>
          <w:u w:val="single"/>
        </w:rPr>
        <w:t>APLICAÇÃO DO COEFICIENTE</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sz w:val="20"/>
          <w:szCs w:val="20"/>
        </w:rPr>
        <w:t xml:space="preserve">A) APLICAÇÃO DO COEFICIENTE DE ADEQUAÇÃO DE PREÇO (CAP), QUE CONSISTE NO DESCONTO DE 19,28%, DEFINIDO PELO COMUNICADO Nº 5, DE </w:t>
      </w:r>
      <w:proofErr w:type="gramStart"/>
      <w:r w:rsidRPr="002F31BC">
        <w:rPr>
          <w:rFonts w:ascii="Times New Roman" w:eastAsiaTheme="minorHAnsi" w:hAnsi="Times New Roman"/>
          <w:sz w:val="20"/>
          <w:szCs w:val="20"/>
        </w:rPr>
        <w:t>5</w:t>
      </w:r>
      <w:proofErr w:type="gramEnd"/>
      <w:r w:rsidRPr="002F31BC">
        <w:rPr>
          <w:rFonts w:ascii="Times New Roman" w:eastAsiaTheme="minorHAnsi" w:hAnsi="Times New Roman"/>
          <w:sz w:val="20"/>
          <w:szCs w:val="20"/>
        </w:rPr>
        <w:t xml:space="preserve"> DE SETEMBRO DE 2013, EM RELAÇÃO AO PREÇO DE FÁBRICA DO MEDICAMENTO, CONFORME RESOLUÇÃO DA CÂMARA DE REGULAÇÃO DO MERCADO DE MEDICAMENTOS - CMED - Nº 3, DE 2 DE MARÇO DE 2011.</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sz w:val="20"/>
          <w:szCs w:val="20"/>
        </w:rPr>
        <w:t xml:space="preserve">B) POR SE TRATAR DE REGISTRO DE PREÇO PARA ATENDIMENTO DE ORDEM JUDICIAL, O ÓRGÃO REQUISITANTE SE COMPROMETE, CASO NECESSÁRIO, A ENVIAR A LIMINAR JUDICIAL, CONSTANDO O NÚMERO DO PROCESSO, NOME E DOSAGEM DO MEDICAMENTO, ACOMPANHADA DO EMPENHO, </w:t>
      </w:r>
      <w:proofErr w:type="gramStart"/>
      <w:r w:rsidRPr="002F31BC">
        <w:rPr>
          <w:rFonts w:ascii="Times New Roman" w:eastAsiaTheme="minorHAnsi" w:hAnsi="Times New Roman"/>
          <w:sz w:val="20"/>
          <w:szCs w:val="20"/>
        </w:rPr>
        <w:t>À(</w:t>
      </w:r>
      <w:proofErr w:type="gramEnd"/>
      <w:r w:rsidRPr="002F31BC">
        <w:rPr>
          <w:rFonts w:ascii="Times New Roman" w:eastAsiaTheme="minorHAnsi" w:hAnsi="Times New Roman"/>
          <w:sz w:val="20"/>
          <w:szCs w:val="20"/>
        </w:rPr>
        <w:t>S) EMPRESA(S) VENCEDORA(S) DO(S) LOTE(S). DESSA FORMA, A EMPRESA TERÁ A CONFIRMAÇÃO DE QUE SE TRATA DE ORDEM JUDICIAL.</w:t>
      </w:r>
    </w:p>
    <w:p w:rsidR="002F31BC" w:rsidRPr="002F31BC" w:rsidRDefault="002F31BC" w:rsidP="002F31BC">
      <w:pPr>
        <w:spacing w:after="0" w:line="240" w:lineRule="auto"/>
        <w:jc w:val="both"/>
        <w:rPr>
          <w:rFonts w:ascii="Times New Roman" w:eastAsiaTheme="minorHAnsi" w:hAnsi="Times New Roman"/>
          <w:sz w:val="20"/>
          <w:szCs w:val="20"/>
        </w:rPr>
      </w:pPr>
    </w:p>
    <w:p w:rsidR="002F31BC" w:rsidRPr="002F31BC" w:rsidRDefault="002F31BC" w:rsidP="002F31BC">
      <w:pPr>
        <w:spacing w:after="0" w:line="240" w:lineRule="auto"/>
        <w:jc w:val="both"/>
        <w:rPr>
          <w:rFonts w:ascii="Times New Roman" w:eastAsiaTheme="minorHAnsi" w:hAnsi="Times New Roman"/>
          <w:sz w:val="20"/>
          <w:szCs w:val="20"/>
        </w:rPr>
      </w:pPr>
      <w:r w:rsidRPr="002F31BC">
        <w:rPr>
          <w:rFonts w:ascii="Times New Roman" w:eastAsiaTheme="minorHAnsi" w:hAnsi="Times New Roman"/>
          <w:sz w:val="20"/>
          <w:szCs w:val="20"/>
        </w:rPr>
        <w:t>C) O CAP É UM DESCONTO MÍNIMO OBRIGATÓRIO, ATUALMENTE DEFINIDO EM 19,28%, INCIDENTE SOBRE O PREÇO FÁBRICA DE ALGUNS MEDICAMENTOS EXCEPCIONAIS OU DE ALTO CUSTO NAS COMPRAS REALIZADAS PELOS ENTES PÚBLICOS. O CAP TAMBÉM SE APLICA NAS COMPRAS PÚBLICAS DE QUALQUER MEDICAMENTO ADQUIRIDO POR FORÇA DE AÇÃO JUDICIAL. COEFICIENTE DE ADEQUAÇÃO DE PREÇO ESTÁ PREVISTO NA RESOLUÇÃO Nº 4, DE 18 DE DEZEMBRO DE 2006, TRATA-SE DE UM DESCONTO MÍNIMO OBRIGATÓRIO A SER APLICADO SEMPRE QUE FOREM REALIZADAS VENDAS DE MEDICAMENTOS POR FORÇA DE AÇÃO JUDICIAL E OUTROS. A APLICAÇÃO DO CAP SOBRE O PREÇO FÁBRICA (PF) RESULTARÁ NO PREÇO MÁXIMO DE VENDA AO GOVERNO (PMVG).</w:t>
      </w:r>
    </w:p>
    <w:p w:rsidR="002F31BC" w:rsidRPr="00756D43" w:rsidRDefault="002F31BC" w:rsidP="002F31BC">
      <w:pPr>
        <w:autoSpaceDE w:val="0"/>
        <w:autoSpaceDN w:val="0"/>
        <w:adjustRightInd w:val="0"/>
        <w:spacing w:after="0" w:line="240" w:lineRule="auto"/>
        <w:jc w:val="both"/>
        <w:rPr>
          <w:rFonts w:ascii="Times New Roman" w:eastAsia="Times New Roman" w:hAnsi="Times New Roman"/>
          <w:b/>
          <w:color w:val="000000"/>
          <w:sz w:val="20"/>
          <w:szCs w:val="20"/>
          <w:lang w:eastAsia="pt-BR"/>
        </w:rPr>
      </w:pPr>
    </w:p>
    <w:p w:rsidR="002F31BC" w:rsidRPr="00760FAC" w:rsidRDefault="002F31BC" w:rsidP="002F31BC">
      <w:pPr>
        <w:autoSpaceDE w:val="0"/>
        <w:autoSpaceDN w:val="0"/>
        <w:adjustRightInd w:val="0"/>
        <w:spacing w:after="0" w:line="240" w:lineRule="auto"/>
        <w:jc w:val="both"/>
        <w:rPr>
          <w:rFonts w:ascii="Times New Roman" w:eastAsia="Times New Roman" w:hAnsi="Times New Roman"/>
          <w:b/>
          <w:color w:val="000000"/>
          <w:sz w:val="24"/>
          <w:szCs w:val="24"/>
          <w:u w:val="single"/>
          <w:lang w:eastAsia="pt-BR"/>
        </w:rPr>
      </w:pPr>
      <w:r w:rsidRPr="00760FAC">
        <w:rPr>
          <w:rFonts w:ascii="Times New Roman" w:eastAsia="Times New Roman" w:hAnsi="Times New Roman"/>
          <w:b/>
          <w:color w:val="000000"/>
          <w:sz w:val="24"/>
          <w:szCs w:val="24"/>
          <w:u w:val="single"/>
          <w:lang w:eastAsia="pt-BR"/>
        </w:rPr>
        <w:t>1.8. A EMPRESA VENCEDORA DE CADA LOTE, IMEDIATAMENTE AO FINAL DOS LANCES, DEVERÁ APRESENTAR OS SEGUINTES DOCUMENTOS, REFERENTE AOS MEDICAMENTOS EM QUESTÃO:</w:t>
      </w:r>
    </w:p>
    <w:p w:rsidR="002F31BC" w:rsidRPr="00756D43" w:rsidRDefault="002F31BC" w:rsidP="002F31BC">
      <w:pPr>
        <w:autoSpaceDE w:val="0"/>
        <w:autoSpaceDN w:val="0"/>
        <w:adjustRightInd w:val="0"/>
        <w:spacing w:after="0" w:line="240" w:lineRule="auto"/>
        <w:jc w:val="both"/>
        <w:rPr>
          <w:rFonts w:ascii="Times New Roman" w:eastAsia="Times New Roman" w:hAnsi="Times New Roman"/>
          <w:b/>
          <w:sz w:val="20"/>
          <w:szCs w:val="20"/>
          <w:lang w:eastAsia="pt-BR"/>
        </w:rPr>
      </w:pPr>
      <w:r w:rsidRPr="00756D43">
        <w:rPr>
          <w:rFonts w:ascii="Times New Roman" w:eastAsia="Times New Roman" w:hAnsi="Times New Roman"/>
          <w:b/>
          <w:sz w:val="20"/>
          <w:szCs w:val="20"/>
          <w:lang w:eastAsia="pt-BR"/>
        </w:rPr>
        <w:t xml:space="preserve">A) CERTIFICADO DE BOAS PRÁTICAS DE FABRICAÇÃO; </w:t>
      </w:r>
    </w:p>
    <w:p w:rsidR="002F31BC" w:rsidRPr="00756D43" w:rsidRDefault="002F31BC" w:rsidP="002F31BC">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756D43">
        <w:rPr>
          <w:rFonts w:ascii="Times New Roman" w:eastAsia="Times New Roman" w:hAnsi="Times New Roman"/>
          <w:b/>
          <w:sz w:val="20"/>
          <w:szCs w:val="20"/>
          <w:lang w:eastAsia="pt-BR"/>
        </w:rPr>
        <w:t>B) REGISTRO NA ANVISA DOS MEDICAMENTOS;</w:t>
      </w:r>
    </w:p>
    <w:p w:rsidR="002F31BC" w:rsidRDefault="002F31BC" w:rsidP="002F31BC">
      <w:pPr>
        <w:widowControl w:val="0"/>
        <w:autoSpaceDE w:val="0"/>
        <w:autoSpaceDN w:val="0"/>
        <w:adjustRightInd w:val="0"/>
        <w:spacing w:after="0" w:line="240" w:lineRule="auto"/>
        <w:jc w:val="both"/>
        <w:rPr>
          <w:rFonts w:ascii="Times New Roman" w:eastAsia="Times New Roman" w:hAnsi="Times New Roman"/>
          <w:b/>
          <w:sz w:val="20"/>
          <w:szCs w:val="20"/>
          <w:lang w:eastAsia="pt-BR"/>
        </w:rPr>
      </w:pPr>
      <w:r w:rsidRPr="00756D43">
        <w:rPr>
          <w:rFonts w:ascii="Times New Roman" w:eastAsia="Times New Roman" w:hAnsi="Times New Roman"/>
          <w:b/>
          <w:sz w:val="20"/>
          <w:szCs w:val="20"/>
          <w:lang w:eastAsia="pt-BR"/>
        </w:rPr>
        <w:t>C) O LICITANTE DEVERÁ TRAZER IMPRESSO A PLANILHA COM O PREÇO DO MEDICAMENTO NA TABELA DA CMED;</w:t>
      </w:r>
    </w:p>
    <w:p w:rsidR="002F31BC" w:rsidRPr="002F31BC" w:rsidRDefault="002F31BC" w:rsidP="002F31BC">
      <w:pPr>
        <w:pStyle w:val="SemEspaamento"/>
        <w:jc w:val="both"/>
        <w:rPr>
          <w:rFonts w:ascii="Times New Roman" w:hAnsi="Times New Roman"/>
          <w:b/>
          <w:sz w:val="20"/>
          <w:szCs w:val="20"/>
        </w:rPr>
      </w:pPr>
      <w:r w:rsidRPr="002F31BC">
        <w:rPr>
          <w:rFonts w:ascii="Times New Roman" w:eastAsia="Times New Roman" w:hAnsi="Times New Roman"/>
          <w:b/>
          <w:sz w:val="20"/>
          <w:szCs w:val="20"/>
          <w:lang w:eastAsia="pt-BR"/>
        </w:rPr>
        <w:t xml:space="preserve">D) </w:t>
      </w:r>
      <w:r w:rsidRPr="002F31BC">
        <w:rPr>
          <w:rFonts w:ascii="Times New Roman" w:hAnsi="Times New Roman"/>
          <w:b/>
          <w:sz w:val="20"/>
          <w:szCs w:val="20"/>
        </w:rPr>
        <w:t>AUTORIZAÇÃO DE FUNCIONAMENTO DA ANVISA, DA LICITANTE VENCEDORA;</w:t>
      </w:r>
    </w:p>
    <w:p w:rsidR="002F31BC" w:rsidRPr="002F31BC" w:rsidRDefault="002F31BC" w:rsidP="002F31BC">
      <w:pPr>
        <w:pStyle w:val="SemEspaamento"/>
        <w:jc w:val="both"/>
        <w:rPr>
          <w:rFonts w:ascii="Times New Roman" w:hAnsi="Times New Roman"/>
          <w:b/>
          <w:sz w:val="20"/>
          <w:szCs w:val="20"/>
        </w:rPr>
      </w:pPr>
      <w:r w:rsidRPr="002F31BC">
        <w:rPr>
          <w:rFonts w:ascii="Times New Roman" w:hAnsi="Times New Roman"/>
          <w:b/>
          <w:sz w:val="20"/>
          <w:szCs w:val="20"/>
        </w:rPr>
        <w:t>E) CERTIFICADO DE AUTORIZAÇÃO ESPECIAL EXPEDIDO PELA SECRETARIA DE VIGILÂNCIA SANITÁRIA DO MINISTÉRIO DA SAÚDE QUANTO AS SUBSTÂNCIAS CONSTANTES DAS LISTAS ANEXAS A PORTARIA NO 344/98 DE 12 DE MAIO DE 1998, DA LICITANTE VENCEDORA;</w:t>
      </w:r>
    </w:p>
    <w:p w:rsidR="002F31BC" w:rsidRPr="002F31BC" w:rsidRDefault="002F31BC" w:rsidP="002F31BC">
      <w:pPr>
        <w:pStyle w:val="SemEspaamento"/>
        <w:jc w:val="both"/>
        <w:rPr>
          <w:rFonts w:ascii="Times New Roman" w:hAnsi="Times New Roman"/>
          <w:b/>
          <w:sz w:val="20"/>
          <w:szCs w:val="20"/>
        </w:rPr>
      </w:pPr>
      <w:r w:rsidRPr="002F31BC">
        <w:rPr>
          <w:rFonts w:ascii="Times New Roman" w:hAnsi="Times New Roman"/>
          <w:b/>
          <w:sz w:val="20"/>
          <w:szCs w:val="20"/>
        </w:rPr>
        <w:t>F) CERTIDÃO DE REGULARIDADE TÉCNICA, DA LICITANTE VENCEDORA; E,</w:t>
      </w:r>
    </w:p>
    <w:p w:rsidR="002F31BC" w:rsidRPr="002F31BC" w:rsidRDefault="002F31BC" w:rsidP="002F31BC">
      <w:pPr>
        <w:pStyle w:val="SemEspaamento"/>
        <w:jc w:val="both"/>
        <w:rPr>
          <w:rFonts w:ascii="Times New Roman" w:hAnsi="Times New Roman"/>
          <w:b/>
          <w:sz w:val="20"/>
          <w:szCs w:val="20"/>
        </w:rPr>
      </w:pPr>
      <w:r w:rsidRPr="002F31BC">
        <w:rPr>
          <w:rFonts w:ascii="Times New Roman" w:hAnsi="Times New Roman"/>
          <w:b/>
          <w:sz w:val="20"/>
          <w:szCs w:val="20"/>
        </w:rPr>
        <w:t>G) LICENÇA DE FUNCIONAMENTO DA VIGILÂNCIA MUNICIPAL, DA LICITANTE VENCEDORA.</w:t>
      </w:r>
    </w:p>
    <w:p w:rsidR="002F31BC" w:rsidRDefault="002F31BC" w:rsidP="002F31BC">
      <w:pPr>
        <w:rPr>
          <w:rFonts w:asciiTheme="minorHAnsi" w:eastAsiaTheme="minorHAnsi" w:hAnsiTheme="minorHAnsi" w:cstheme="minorBidi"/>
        </w:rPr>
      </w:pPr>
    </w:p>
    <w:p w:rsidR="002F31BC" w:rsidRDefault="002F31BC" w:rsidP="002F31BC">
      <w:pPr>
        <w:pStyle w:val="ParagraphStyle"/>
        <w:jc w:val="both"/>
        <w:rPr>
          <w:rFonts w:ascii="Times New Roman" w:hAnsi="Times New Roman" w:cs="Times New Roman"/>
          <w:b/>
          <w:bCs/>
        </w:rPr>
      </w:pPr>
      <w:r>
        <w:rPr>
          <w:rFonts w:ascii="Times New Roman" w:hAnsi="Times New Roman" w:cs="Times New Roman"/>
          <w:b/>
          <w:bCs/>
        </w:rPr>
        <w:t>2 - DA PARTICIPAÇÃO.</w:t>
      </w:r>
    </w:p>
    <w:p w:rsidR="002F31BC" w:rsidRDefault="002F31BC" w:rsidP="002F31BC">
      <w:pPr>
        <w:pStyle w:val="ParagraphStyle"/>
        <w:jc w:val="both"/>
        <w:rPr>
          <w:rFonts w:ascii="Times New Roman" w:hAnsi="Times New Roman" w:cs="Times New Roman"/>
          <w:b/>
          <w:bCs/>
        </w:rPr>
      </w:pPr>
      <w:r>
        <w:rPr>
          <w:rFonts w:ascii="Times New Roman" w:hAnsi="Times New Roman" w:cs="Times New Roman"/>
          <w:b/>
          <w:bCs/>
        </w:rPr>
        <w:t xml:space="preserve">2.1. </w:t>
      </w:r>
      <w:r w:rsidRPr="002F31BC">
        <w:rPr>
          <w:rFonts w:ascii="Times New Roman" w:hAnsi="Times New Roman" w:cs="Times New Roman"/>
          <w:b/>
          <w:bCs/>
          <w:u w:val="single"/>
        </w:rPr>
        <w:t>D</w:t>
      </w:r>
      <w:r>
        <w:rPr>
          <w:rFonts w:ascii="Times New Roman" w:hAnsi="Times New Roman" w:cs="Times New Roman"/>
          <w:b/>
          <w:bCs/>
          <w:u w:val="single"/>
        </w:rPr>
        <w:t xml:space="preserve">OS ITENS 01 A 08 SÃO EXCLUSIVOS PARA </w:t>
      </w:r>
      <w:proofErr w:type="spellStart"/>
      <w:r>
        <w:rPr>
          <w:rFonts w:ascii="Times New Roman" w:hAnsi="Times New Roman" w:cs="Times New Roman"/>
          <w:b/>
          <w:bCs/>
          <w:u w:val="single"/>
        </w:rPr>
        <w:t>MEs</w:t>
      </w:r>
      <w:proofErr w:type="spellEnd"/>
      <w:r>
        <w:rPr>
          <w:rFonts w:ascii="Times New Roman" w:hAnsi="Times New Roman" w:cs="Times New Roman"/>
          <w:b/>
          <w:bCs/>
          <w:u w:val="single"/>
        </w:rPr>
        <w:t xml:space="preserve"> e </w:t>
      </w:r>
      <w:proofErr w:type="spellStart"/>
      <w:r>
        <w:rPr>
          <w:rFonts w:ascii="Times New Roman" w:hAnsi="Times New Roman" w:cs="Times New Roman"/>
          <w:b/>
          <w:bCs/>
          <w:u w:val="single"/>
        </w:rPr>
        <w:t>EPPs</w:t>
      </w:r>
      <w:proofErr w:type="spellEnd"/>
      <w:r>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2F31BC" w:rsidRDefault="002F31BC" w:rsidP="002F31BC">
      <w:pPr>
        <w:pStyle w:val="ParagraphStyle"/>
        <w:jc w:val="both"/>
        <w:rPr>
          <w:rFonts w:ascii="Times New Roman" w:hAnsi="Times New Roman" w:cs="Times New Roman"/>
          <w:b/>
          <w:bCs/>
        </w:rPr>
      </w:pPr>
      <w:r>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3 - DO CREDENCIAMENTO.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19/19.</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041/19.</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f) constar os dados bancários para que seja efetuado o pagamento;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2F31BC" w:rsidRDefault="002F31BC" w:rsidP="002F31BC">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F31BC" w:rsidRDefault="002F31BC"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2F31BC" w:rsidRPr="00756D43" w:rsidRDefault="002F31BC" w:rsidP="002F31BC">
      <w:pPr>
        <w:autoSpaceDE w:val="0"/>
        <w:autoSpaceDN w:val="0"/>
        <w:adjustRightInd w:val="0"/>
        <w:spacing w:after="0" w:line="240" w:lineRule="auto"/>
        <w:jc w:val="both"/>
        <w:rPr>
          <w:rFonts w:ascii="Times New Roman" w:hAnsi="Times New Roman"/>
          <w:b/>
          <w:sz w:val="20"/>
          <w:szCs w:val="20"/>
        </w:rPr>
      </w:pPr>
      <w:r w:rsidRPr="00756D43">
        <w:rPr>
          <w:rFonts w:ascii="Times New Roman" w:eastAsia="Times New Roman" w:hAnsi="Times New Roman"/>
          <w:b/>
          <w:color w:val="000000"/>
          <w:sz w:val="20"/>
          <w:szCs w:val="20"/>
          <w:lang w:eastAsia="pt-BR"/>
        </w:rPr>
        <w:t xml:space="preserve">C) </w:t>
      </w:r>
      <w:r w:rsidRPr="00756D43">
        <w:rPr>
          <w:rFonts w:ascii="Times New Roman" w:hAnsi="Times New Roman"/>
          <w:b/>
          <w:sz w:val="20"/>
          <w:szCs w:val="20"/>
        </w:rPr>
        <w:t>AUTORIZAÇÃO DE FUNCIONAMENTO DA ANVISA, DA LICITANTE VENCEDORA;</w:t>
      </w:r>
    </w:p>
    <w:p w:rsidR="002F31BC" w:rsidRPr="00756D43" w:rsidRDefault="002F31BC" w:rsidP="002F31BC">
      <w:pPr>
        <w:autoSpaceDE w:val="0"/>
        <w:autoSpaceDN w:val="0"/>
        <w:adjustRightInd w:val="0"/>
        <w:spacing w:after="0" w:line="240" w:lineRule="auto"/>
        <w:jc w:val="both"/>
        <w:rPr>
          <w:rFonts w:ascii="Times New Roman" w:hAnsi="Times New Roman"/>
          <w:b/>
          <w:sz w:val="20"/>
          <w:szCs w:val="20"/>
        </w:rPr>
      </w:pPr>
      <w:r w:rsidRPr="00756D43">
        <w:rPr>
          <w:rFonts w:ascii="Times New Roman" w:eastAsia="Times New Roman" w:hAnsi="Times New Roman"/>
          <w:b/>
          <w:color w:val="000000"/>
          <w:sz w:val="20"/>
          <w:szCs w:val="20"/>
          <w:lang w:eastAsia="pt-BR"/>
        </w:rPr>
        <w:t xml:space="preserve">D) CERTIFICADO DE </w:t>
      </w:r>
      <w:r w:rsidRPr="00756D43">
        <w:rPr>
          <w:rFonts w:ascii="Times New Roman" w:hAnsi="Times New Roman"/>
          <w:b/>
          <w:sz w:val="20"/>
          <w:szCs w:val="20"/>
        </w:rPr>
        <w:t>AUTORIZAÇÃO ESPECIAL EXPEDIDO PELA SECRETARIA DE VIGILÂNCIA SANITÁRIA DO MINISTÉRIO DA SAÚDE QUANTO AS SUBSTÂNCIAS CONSTANTES DAS LISTAS ANEXAS A PORTARIA NO 344/98 DE 12 DE MAIO DE 1998, DA LICITANTE VENCEDORA;</w:t>
      </w:r>
    </w:p>
    <w:p w:rsidR="002F31BC" w:rsidRPr="00756D43" w:rsidRDefault="002F31BC" w:rsidP="002F31BC">
      <w:pPr>
        <w:autoSpaceDE w:val="0"/>
        <w:autoSpaceDN w:val="0"/>
        <w:adjustRightInd w:val="0"/>
        <w:spacing w:after="0" w:line="240" w:lineRule="auto"/>
        <w:jc w:val="both"/>
        <w:rPr>
          <w:rFonts w:ascii="Times New Roman" w:hAnsi="Times New Roman"/>
          <w:b/>
          <w:sz w:val="20"/>
          <w:szCs w:val="20"/>
        </w:rPr>
      </w:pPr>
      <w:r w:rsidRPr="00756D43">
        <w:rPr>
          <w:rFonts w:ascii="Times New Roman" w:eastAsia="Times New Roman" w:hAnsi="Times New Roman"/>
          <w:b/>
          <w:color w:val="000000"/>
          <w:sz w:val="20"/>
          <w:szCs w:val="20"/>
          <w:lang w:eastAsia="pt-BR"/>
        </w:rPr>
        <w:t xml:space="preserve">E) </w:t>
      </w:r>
      <w:r w:rsidRPr="00756D43">
        <w:rPr>
          <w:rFonts w:ascii="Times New Roman" w:hAnsi="Times New Roman"/>
          <w:b/>
          <w:sz w:val="20"/>
          <w:szCs w:val="20"/>
        </w:rPr>
        <w:t>CERTIDÃO DE REGULARIDADE TÉCNICA, DA LICITANTE VENCEDORA; E,</w:t>
      </w:r>
    </w:p>
    <w:p w:rsidR="002F31BC" w:rsidRPr="00756D43" w:rsidRDefault="002F31BC" w:rsidP="002F31BC">
      <w:pPr>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756D43">
        <w:rPr>
          <w:rFonts w:ascii="Times New Roman" w:eastAsia="Times New Roman" w:hAnsi="Times New Roman"/>
          <w:b/>
          <w:color w:val="000000"/>
          <w:sz w:val="20"/>
          <w:szCs w:val="20"/>
          <w:lang w:eastAsia="pt-BR"/>
        </w:rPr>
        <w:t xml:space="preserve">F) LICENÇA DE FUNCIONAMENTO DA VIGILÂNCIA MUNICIPAL, </w:t>
      </w:r>
      <w:r w:rsidRPr="00756D43">
        <w:rPr>
          <w:rFonts w:ascii="Times New Roman" w:hAnsi="Times New Roman"/>
          <w:b/>
          <w:sz w:val="20"/>
          <w:szCs w:val="20"/>
        </w:rPr>
        <w:t>DA LICITANTE VENCEDORA.</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6.1.3. </w:t>
      </w:r>
      <w:r>
        <w:rPr>
          <w:rFonts w:ascii="Times New Roman" w:hAnsi="Times New Roman" w:cs="Times New Roman"/>
          <w:b/>
          <w:bCs/>
          <w:sz w:val="20"/>
          <w:szCs w:val="20"/>
        </w:rPr>
        <w:t>DISPOSIÇÕES GERAIS DA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não forem de boa qualidade ou não forem condizentes com as características dos itens do objeto desta licitação;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2F31BC" w:rsidRDefault="002F31BC" w:rsidP="002F31BC">
      <w:pPr>
        <w:pStyle w:val="Centered"/>
        <w:rPr>
          <w:rFonts w:ascii="Times New Roman" w:hAnsi="Times New Roman" w:cs="Times New Roman"/>
          <w:b/>
          <w:bCs/>
          <w:sz w:val="20"/>
          <w:szCs w:val="20"/>
        </w:rPr>
      </w:pPr>
    </w:p>
    <w:tbl>
      <w:tblPr>
        <w:tblW w:w="5000" w:type="pct"/>
        <w:jc w:val="center"/>
        <w:tblCellMar>
          <w:left w:w="75" w:type="dxa"/>
          <w:right w:w="75" w:type="dxa"/>
        </w:tblCellMar>
        <w:tblLook w:val="0000"/>
      </w:tblPr>
      <w:tblGrid>
        <w:gridCol w:w="2406"/>
        <w:gridCol w:w="7382"/>
      </w:tblGrid>
      <w:tr w:rsidR="002F31BC" w:rsidTr="002F31BC">
        <w:trPr>
          <w:jc w:val="center"/>
        </w:trPr>
        <w:tc>
          <w:tcPr>
            <w:tcW w:w="1229" w:type="pct"/>
            <w:tcBorders>
              <w:top w:val="single" w:sz="6" w:space="0" w:color="000000"/>
              <w:left w:val="single" w:sz="6" w:space="0" w:color="000000"/>
              <w:bottom w:val="single" w:sz="6" w:space="0" w:color="000000"/>
              <w:right w:val="single" w:sz="6" w:space="0" w:color="000000"/>
            </w:tcBorders>
          </w:tcPr>
          <w:p w:rsidR="002F31BC" w:rsidRDefault="002F31BC">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3771" w:type="pct"/>
            <w:tcBorders>
              <w:top w:val="single" w:sz="6" w:space="0" w:color="000000"/>
              <w:left w:val="single" w:sz="6" w:space="0" w:color="000000"/>
              <w:bottom w:val="single" w:sz="6" w:space="0" w:color="000000"/>
              <w:right w:val="single" w:sz="6" w:space="0" w:color="000000"/>
            </w:tcBorders>
          </w:tcPr>
          <w:p w:rsidR="002F31BC" w:rsidRDefault="002F31BC">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2F31BC" w:rsidTr="002F31BC">
        <w:tblPrEx>
          <w:tblCellSpacing w:w="-8" w:type="nil"/>
        </w:tblPrEx>
        <w:trPr>
          <w:tblCellSpacing w:w="-8" w:type="nil"/>
          <w:jc w:val="center"/>
        </w:trPr>
        <w:tc>
          <w:tcPr>
            <w:tcW w:w="1229" w:type="pct"/>
            <w:tcBorders>
              <w:top w:val="single" w:sz="6" w:space="0" w:color="000000"/>
              <w:left w:val="single" w:sz="6" w:space="0" w:color="000000"/>
              <w:bottom w:val="single" w:sz="6" w:space="0" w:color="000000"/>
              <w:right w:val="single" w:sz="6" w:space="0" w:color="000000"/>
            </w:tcBorders>
          </w:tcPr>
          <w:p w:rsidR="002F31BC" w:rsidRDefault="002F31BC">
            <w:pPr>
              <w:pStyle w:val="Centered"/>
              <w:rPr>
                <w:rFonts w:ascii="Times New Roman" w:hAnsi="Times New Roman" w:cs="Times New Roman"/>
                <w:b/>
                <w:bCs/>
                <w:sz w:val="20"/>
                <w:szCs w:val="20"/>
              </w:rPr>
            </w:pPr>
            <w:r>
              <w:rPr>
                <w:rFonts w:ascii="Times New Roman" w:hAnsi="Times New Roman" w:cs="Times New Roman"/>
                <w:b/>
                <w:bCs/>
                <w:sz w:val="20"/>
                <w:szCs w:val="20"/>
              </w:rPr>
              <w:t>TODOS OS ITENS</w:t>
            </w:r>
          </w:p>
        </w:tc>
        <w:tc>
          <w:tcPr>
            <w:tcW w:w="3771" w:type="pct"/>
            <w:tcBorders>
              <w:top w:val="single" w:sz="6" w:space="0" w:color="000000"/>
              <w:left w:val="single" w:sz="6" w:space="0" w:color="000000"/>
              <w:bottom w:val="single" w:sz="6" w:space="0" w:color="000000"/>
              <w:right w:val="single" w:sz="6" w:space="0" w:color="000000"/>
            </w:tcBorders>
          </w:tcPr>
          <w:p w:rsidR="002F31BC" w:rsidRDefault="002F31BC">
            <w:pPr>
              <w:pStyle w:val="Centered"/>
              <w:rPr>
                <w:rFonts w:ascii="Times New Roman" w:hAnsi="Times New Roman" w:cs="Times New Roman"/>
                <w:b/>
                <w:bCs/>
                <w:sz w:val="20"/>
                <w:szCs w:val="20"/>
              </w:rPr>
            </w:pPr>
            <w:r>
              <w:rPr>
                <w:rFonts w:ascii="Times New Roman" w:hAnsi="Times New Roman" w:cs="Times New Roman"/>
                <w:b/>
                <w:bCs/>
                <w:sz w:val="20"/>
                <w:szCs w:val="20"/>
              </w:rPr>
              <w:t>0,01 – PODENDO SER ALTERADO NA ETAPA DE LANCES</w:t>
            </w:r>
          </w:p>
        </w:tc>
      </w:tr>
    </w:tbl>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 justificada a intenção de interpor o recurso pelo proponente.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8E3CF7" w:rsidRDefault="008E3CF7" w:rsidP="002F31BC">
      <w:pPr>
        <w:pStyle w:val="ParagraphStyle"/>
        <w:jc w:val="both"/>
        <w:rPr>
          <w:rFonts w:ascii="Times New Roman" w:hAnsi="Times New Roman" w:cs="Times New Roman"/>
          <w:sz w:val="20"/>
          <w:szCs w:val="20"/>
        </w:rPr>
      </w:pPr>
    </w:p>
    <w:p w:rsidR="008E3CF7" w:rsidRDefault="008E3CF7" w:rsidP="002F31BC">
      <w:pPr>
        <w:pStyle w:val="ParagraphStyle"/>
        <w:jc w:val="both"/>
        <w:rPr>
          <w:rFonts w:ascii="Times New Roman" w:hAnsi="Times New Roman" w:cs="Times New Roman"/>
          <w:sz w:val="20"/>
          <w:szCs w:val="20"/>
        </w:rPr>
      </w:pPr>
    </w:p>
    <w:p w:rsidR="008E3CF7" w:rsidRDefault="008E3CF7"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9- DO REGISTRO DE PREÇOS, DO FORNECIMENTO E DA GARANTIA.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2F31BC" w:rsidRDefault="002F31BC" w:rsidP="002F31BC">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u w:val="single"/>
        </w:rPr>
        <w:t xml:space="preserve">9.5.2. </w:t>
      </w:r>
      <w:r>
        <w:rPr>
          <w:rFonts w:ascii="Times New Roman" w:hAnsi="Times New Roman" w:cs="Times New Roman"/>
          <w:b/>
          <w:bCs/>
          <w:sz w:val="22"/>
          <w:szCs w:val="22"/>
          <w:u w:val="single"/>
        </w:rPr>
        <w:t>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F31BC" w:rsidRDefault="002F31BC" w:rsidP="002F31BC">
      <w:pPr>
        <w:pStyle w:val="ParagraphStyle"/>
        <w:shd w:val="clear" w:color="auto" w:fill="FFFFFF"/>
        <w:jc w:val="both"/>
        <w:rPr>
          <w:rFonts w:ascii="Times New Roman" w:hAnsi="Times New Roman" w:cs="Times New Roman"/>
          <w:b/>
          <w:bCs/>
          <w:color w:val="000000"/>
          <w:u w:val="single"/>
        </w:rPr>
      </w:pPr>
      <w:r>
        <w:rPr>
          <w:rFonts w:ascii="Times New Roman" w:hAnsi="Times New Roman" w:cs="Times New Roman"/>
          <w:b/>
          <w:bCs/>
          <w:color w:val="000000"/>
          <w:u w:val="single"/>
        </w:rPr>
        <w:t>9.5.3. Á EMPRESA VENCEDORA FICARÁ ADVERTIDA DA OBRIGAÇÃO DE:</w:t>
      </w:r>
    </w:p>
    <w:p w:rsidR="002F31BC" w:rsidRDefault="002F31BC" w:rsidP="002F31BC">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9.5.4. IMPRIMIR 03 (TRÊS) VIAS DO CONTRATO;</w:t>
      </w:r>
    </w:p>
    <w:p w:rsidR="002F31BC" w:rsidRDefault="002F31BC" w:rsidP="002F31BC">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9.5.6. IMPRIMIR 01 (UMA) VIA DO TERMO DE NOTIFICAÇÃO E CIÊNCIA;</w:t>
      </w:r>
    </w:p>
    <w:p w:rsidR="002F31BC" w:rsidRDefault="002F31BC" w:rsidP="002F31BC">
      <w:pPr>
        <w:pStyle w:val="ParagraphStyle"/>
        <w:jc w:val="both"/>
        <w:rPr>
          <w:rFonts w:ascii="Times New Roman" w:hAnsi="Times New Roman" w:cs="Times New Roman"/>
          <w:b/>
          <w:bCs/>
          <w:u w:val="single"/>
        </w:rPr>
      </w:pPr>
      <w:r>
        <w:rPr>
          <w:rFonts w:ascii="Times New Roman" w:hAnsi="Times New Roman" w:cs="Times New Roman"/>
          <w:b/>
          <w:bCs/>
          <w:u w:val="single"/>
        </w:rPr>
        <w:t>9.5.7. ASSINAR TODAS AS PÁGINAS; SENDO EXPRESSAMENTE PROIBIDO IMPRIMIR FRENTE/</w:t>
      </w:r>
      <w:proofErr w:type="gramStart"/>
      <w:r>
        <w:rPr>
          <w:rFonts w:ascii="Times New Roman" w:hAnsi="Times New Roman" w:cs="Times New Roman"/>
          <w:b/>
          <w:bCs/>
          <w:u w:val="single"/>
        </w:rPr>
        <w:t>VERSO</w:t>
      </w:r>
      <w:proofErr w:type="gramEnd"/>
    </w:p>
    <w:p w:rsidR="002F31BC" w:rsidRDefault="002F31BC" w:rsidP="002F31BC">
      <w:pPr>
        <w:pStyle w:val="ParagraphStyle"/>
        <w:spacing w:after="200" w:line="276" w:lineRule="auto"/>
        <w:jc w:val="both"/>
        <w:rPr>
          <w:rFonts w:ascii="Times New Roman" w:hAnsi="Times New Roman" w:cs="Times New Roman"/>
          <w:sz w:val="20"/>
          <w:szCs w:val="20"/>
        </w:rPr>
      </w:pPr>
      <w:r>
        <w:rPr>
          <w:rFonts w:ascii="Times New Roman" w:hAnsi="Times New Roman" w:cs="Times New Roman"/>
          <w:b/>
          <w:bCs/>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u w:val="single"/>
        </w:rPr>
        <w:t>SUPRA ENSEJARÁ</w:t>
      </w:r>
      <w:proofErr w:type="gramEnd"/>
      <w:r>
        <w:rPr>
          <w:rFonts w:ascii="Times New Roman" w:hAnsi="Times New Roman" w:cs="Times New Roman"/>
          <w:b/>
          <w:bCs/>
          <w:u w:val="single"/>
        </w:rPr>
        <w:t xml:space="preserve"> NA APLICAÇÃO DE MULTA DE 10% DO VALOR DO CONTRATO.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8E3CF7" w:rsidRDefault="008E3CF7"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10 - DO LOCAL E DAS CONDIÇÕES DA ENTREGA DOS MATERIAIS/PRODUTOS.</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2F31BC" w:rsidRPr="008E3CF7" w:rsidRDefault="002F31BC" w:rsidP="002F31BC">
      <w:pPr>
        <w:widowControl w:val="0"/>
        <w:autoSpaceDE w:val="0"/>
        <w:autoSpaceDN w:val="0"/>
        <w:adjustRightInd w:val="0"/>
        <w:spacing w:after="0" w:line="240" w:lineRule="auto"/>
        <w:jc w:val="both"/>
        <w:rPr>
          <w:rFonts w:ascii="Times New Roman" w:eastAsia="Times New Roman" w:hAnsi="Times New Roman"/>
          <w:b/>
          <w:bCs/>
          <w:color w:val="000000"/>
          <w:sz w:val="20"/>
          <w:szCs w:val="20"/>
          <w:lang w:eastAsia="pt-BR"/>
        </w:rPr>
      </w:pPr>
      <w:r w:rsidRPr="008E3CF7">
        <w:rPr>
          <w:rFonts w:ascii="Times New Roman" w:eastAsia="Times New Roman" w:hAnsi="Times New Roman"/>
          <w:b/>
          <w:bCs/>
          <w:color w:val="000000"/>
          <w:sz w:val="20"/>
          <w:szCs w:val="20"/>
          <w:lang w:eastAsia="pt-BR"/>
        </w:rPr>
        <w:t>10.3. O PRAZO DE VALIDADE DOS MEDICAMENTOS DEVERÁ SER ACIMA DE 15 (QUINZE) MESES A CONTAR DA DATA DA ENTREGA.</w:t>
      </w:r>
    </w:p>
    <w:p w:rsidR="002F31BC" w:rsidRPr="008E3CF7"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2F31BC" w:rsidRDefault="002F31BC" w:rsidP="002F31BC">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F31BC" w:rsidRDefault="002F31BC" w:rsidP="002F31BC">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14 - DOTAÇÃO ORÇAMENTÁRIA.</w:t>
      </w:r>
    </w:p>
    <w:p w:rsidR="002F31BC" w:rsidRDefault="002F31BC" w:rsidP="002F31BC">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R$ 209.672,24 (duzentos e nove mil seiscentos e setenta e dois reais e vinte e quatro centavos)</w:t>
      </w:r>
      <w:r>
        <w:rPr>
          <w:rFonts w:ascii="Times New Roman" w:hAnsi="Times New Roman" w:cs="Times New Roman"/>
          <w:caps/>
          <w:sz w:val="22"/>
          <w:szCs w:val="22"/>
        </w:rPr>
        <w:t>.</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02.06- SECRETARIA</w:t>
      </w:r>
      <w:proofErr w:type="gramEnd"/>
      <w:r w:rsidRPr="00711C3E">
        <w:rPr>
          <w:rFonts w:ascii="Times New Roman" w:hAnsi="Times New Roman"/>
          <w:b/>
          <w:sz w:val="18"/>
          <w:szCs w:val="18"/>
          <w:lang w:eastAsia="pt-BR"/>
        </w:rPr>
        <w:t xml:space="preserve"> MUNICIPAL DA SAUDE</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10.301.0021.2.038</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10.301.0021.2.127</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10.302.0021.2.128</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2F31BC" w:rsidRDefault="002F31BC" w:rsidP="002F31BC">
      <w:pPr>
        <w:pStyle w:val="ParagraphStyle"/>
        <w:jc w:val="both"/>
        <w:rPr>
          <w:rFonts w:ascii="Times New Roman" w:hAnsi="Times New Roman" w:cs="Times New Roman"/>
          <w:sz w:val="20"/>
          <w:szCs w:val="20"/>
        </w:rPr>
      </w:pPr>
    </w:p>
    <w:p w:rsidR="008E3CF7" w:rsidRDefault="008E3CF7"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17. DAS DISPOSIÇÕES ESPECIAIS APLICÁVEIS ÀS MICRO E PEQUENAS EMPRESAS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2F31BC" w:rsidRDefault="002F31BC" w:rsidP="002F31BC">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8E3CF7" w:rsidRDefault="008E3CF7" w:rsidP="002F31BC">
      <w:pPr>
        <w:pStyle w:val="ParagraphStyle"/>
        <w:jc w:val="both"/>
        <w:rPr>
          <w:rFonts w:ascii="Times New Roman" w:hAnsi="Times New Roman" w:cs="Times New Roman"/>
          <w:sz w:val="20"/>
          <w:szCs w:val="20"/>
        </w:rPr>
      </w:pPr>
    </w:p>
    <w:p w:rsidR="008E3CF7" w:rsidRDefault="008E3CF7"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2F31BC" w:rsidRDefault="002F31BC" w:rsidP="002F31BC">
      <w:pPr>
        <w:pStyle w:val="ParagraphStyle"/>
        <w:spacing w:after="200" w:line="276" w:lineRule="auto"/>
        <w:rPr>
          <w:rFonts w:ascii="Calibri" w:hAnsi="Calibri" w:cs="Calibri"/>
          <w:sz w:val="22"/>
          <w:szCs w:val="22"/>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F63682">
        <w:rPr>
          <w:rFonts w:ascii="Times New Roman" w:hAnsi="Times New Roman" w:cs="Times New Roman"/>
          <w:sz w:val="20"/>
          <w:szCs w:val="20"/>
        </w:rPr>
        <w:t>quinta</w:t>
      </w:r>
      <w:r>
        <w:rPr>
          <w:rFonts w:ascii="Times New Roman" w:hAnsi="Times New Roman" w:cs="Times New Roman"/>
          <w:sz w:val="20"/>
          <w:szCs w:val="20"/>
        </w:rPr>
        <w:t>-</w:t>
      </w:r>
      <w:r w:rsidR="00F63682">
        <w:rPr>
          <w:rFonts w:ascii="Times New Roman" w:hAnsi="Times New Roman" w:cs="Times New Roman"/>
          <w:sz w:val="20"/>
          <w:szCs w:val="20"/>
        </w:rPr>
        <w:t>feira</w:t>
      </w:r>
      <w:r>
        <w:rPr>
          <w:rFonts w:ascii="Times New Roman" w:hAnsi="Times New Roman" w:cs="Times New Roman"/>
          <w:sz w:val="20"/>
          <w:szCs w:val="20"/>
        </w:rPr>
        <w:t xml:space="preserve">, </w:t>
      </w:r>
      <w:r w:rsidR="00F63682">
        <w:rPr>
          <w:rFonts w:ascii="Times New Roman" w:hAnsi="Times New Roman" w:cs="Times New Roman"/>
          <w:sz w:val="20"/>
          <w:szCs w:val="20"/>
        </w:rPr>
        <w:t>14</w:t>
      </w:r>
      <w:r>
        <w:rPr>
          <w:rFonts w:ascii="Times New Roman" w:hAnsi="Times New Roman" w:cs="Times New Roman"/>
          <w:sz w:val="20"/>
          <w:szCs w:val="20"/>
        </w:rPr>
        <w:t xml:space="preserve"> de </w:t>
      </w:r>
      <w:r w:rsidR="00F63682">
        <w:rPr>
          <w:rFonts w:ascii="Times New Roman" w:hAnsi="Times New Roman" w:cs="Times New Roman"/>
          <w:sz w:val="20"/>
          <w:szCs w:val="20"/>
        </w:rPr>
        <w:t>março</w:t>
      </w:r>
      <w:r>
        <w:rPr>
          <w:rFonts w:ascii="Times New Roman" w:hAnsi="Times New Roman" w:cs="Times New Roman"/>
          <w:sz w:val="20"/>
          <w:szCs w:val="20"/>
        </w:rPr>
        <w:t xml:space="preserve">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2F31BC" w:rsidRDefault="002F31BC" w:rsidP="002F31BC">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19/19.</w:t>
      </w: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041/19.</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ind w:firstLine="2520"/>
        <w:jc w:val="both"/>
        <w:rPr>
          <w:rFonts w:ascii="Times New Roman" w:hAnsi="Times New Roman" w:cs="Times New Roman"/>
          <w:sz w:val="20"/>
          <w:szCs w:val="20"/>
        </w:rPr>
      </w:pPr>
    </w:p>
    <w:p w:rsidR="002F31BC" w:rsidRDefault="002F31BC" w:rsidP="002F31BC">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19/19, bem como de seus Anexos e que, assim sendo, atendemos plenamente a todos os requisitos necessários à participação e habilitação no mesmo.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2F31BC" w:rsidRDefault="002F31BC" w:rsidP="002F31BC">
      <w:pPr>
        <w:pStyle w:val="Centered"/>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19/19 Processo 041/19,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19/19 - Processo nº 041/19,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F31BC" w:rsidRDefault="002F31BC" w:rsidP="002F31BC">
      <w:pPr>
        <w:pStyle w:val="ParagraphStyle"/>
        <w:ind w:firstLine="2340"/>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p>
    <w:p w:rsidR="002F31BC" w:rsidRDefault="002F31BC" w:rsidP="002F31BC">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19/19 - Processo nº 041/19,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041/19, PREGÃO Nº 19/19,</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AQUISIÇÃO DE MEDICAMENTOS QUE SERÃO NECESSÁRIOS PARA ATENDER AOS PACIENTES DO MUNICÍPIO DE FERNANDÓPOLIS/SP, COM DETERMINAÇÃO JUDICIAL, MEDIANTE APRESENTAÇÃO DE RECEITA MÉDICA, COM PREVISÃO DE CONSUMO PARCELADAMENTE EM ATÉ 12 (DOZE) MESES,</w:t>
      </w:r>
      <w:r>
        <w:rPr>
          <w:rFonts w:ascii="Times New Roman" w:hAnsi="Times New Roman" w:cs="Times New Roman"/>
          <w:sz w:val="20"/>
          <w:szCs w:val="20"/>
        </w:rPr>
        <w:t xml:space="preserve"> dos itens abaixo discriminados, com seus respectivos preços:</w:t>
      </w:r>
    </w:p>
    <w:p w:rsidR="002F31BC" w:rsidRDefault="002F31BC" w:rsidP="002F31BC">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2F31BC">
        <w:trPr>
          <w:jc w:val="center"/>
        </w:trPr>
        <w:tc>
          <w:tcPr>
            <w:tcW w:w="82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2F31BC">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2F31BC">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2F31BC" w:rsidRPr="008E3CF7" w:rsidRDefault="008E3CF7" w:rsidP="002F31BC">
      <w:pPr>
        <w:pStyle w:val="ParagraphStyle"/>
        <w:jc w:val="both"/>
        <w:rPr>
          <w:rFonts w:ascii="Times New Roman" w:eastAsia="Times New Roman" w:hAnsi="Times New Roman"/>
          <w:b/>
          <w:bCs/>
          <w:color w:val="000000"/>
          <w:sz w:val="20"/>
          <w:szCs w:val="20"/>
        </w:rPr>
      </w:pPr>
      <w:r w:rsidRPr="008E3CF7">
        <w:rPr>
          <w:rFonts w:ascii="Times New Roman" w:eastAsia="Times New Roman" w:hAnsi="Times New Roman"/>
          <w:b/>
          <w:bCs/>
          <w:color w:val="000000"/>
          <w:sz w:val="20"/>
          <w:szCs w:val="20"/>
        </w:rPr>
        <w:t>O PRAZO DE VALIDADE DOS MEDICAMENTOS DEVERÁ SER ACIMA DE 15 (QUINZE) MESES A CONTAR DA DATA DA ENTREGA.</w:t>
      </w:r>
    </w:p>
    <w:p w:rsidR="008E3CF7" w:rsidRDefault="008E3CF7" w:rsidP="002F31BC">
      <w:pPr>
        <w:pStyle w:val="ParagraphStyle"/>
        <w:jc w:val="both"/>
        <w:rPr>
          <w:rFonts w:ascii="Times New Roman" w:eastAsia="Times New Roman" w:hAnsi="Times New Roman"/>
          <w:b/>
          <w:bCs/>
          <w:color w:val="000000"/>
        </w:rPr>
      </w:pPr>
    </w:p>
    <w:p w:rsidR="008E3CF7" w:rsidRDefault="008E3CF7" w:rsidP="002F31BC">
      <w:pPr>
        <w:pStyle w:val="ParagraphStyle"/>
        <w:jc w:val="both"/>
        <w:rPr>
          <w:rFonts w:ascii="Times New Roman" w:hAnsi="Times New Roman" w:cs="Times New Roman"/>
          <w:sz w:val="20"/>
          <w:szCs w:val="20"/>
        </w:rPr>
      </w:pPr>
    </w:p>
    <w:p w:rsidR="008E3CF7" w:rsidRPr="008E3CF7" w:rsidRDefault="008E3CF7"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 DO REAJUSTAMENTO</w:t>
      </w:r>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F31BC" w:rsidRDefault="002F31BC" w:rsidP="002F31BC">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2F31BC" w:rsidRDefault="002F31BC" w:rsidP="002F31BC">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2F31BC" w:rsidRDefault="002F31BC" w:rsidP="002F31BC">
      <w:pPr>
        <w:pStyle w:val="ParagraphStyle"/>
        <w:jc w:val="both"/>
        <w:rPr>
          <w:rFonts w:ascii="Times New Roman" w:hAnsi="Times New Roman" w:cs="Times New Roman"/>
          <w:b/>
          <w:bCs/>
          <w:sz w:val="20"/>
          <w:szCs w:val="20"/>
        </w:rPr>
      </w:pP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02.06- SECRETARIA</w:t>
      </w:r>
      <w:proofErr w:type="gramEnd"/>
      <w:r w:rsidRPr="00711C3E">
        <w:rPr>
          <w:rFonts w:ascii="Times New Roman" w:hAnsi="Times New Roman"/>
          <w:b/>
          <w:sz w:val="18"/>
          <w:szCs w:val="18"/>
          <w:lang w:eastAsia="pt-BR"/>
        </w:rPr>
        <w:t xml:space="preserve"> MUNICIPAL DA SAUDE</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10.301.0021.2.038</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10.301.0021.2.127</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10.302.0021.2.128</w:t>
      </w:r>
    </w:p>
    <w:p w:rsidR="008E3CF7" w:rsidRPr="00711C3E" w:rsidRDefault="008E3CF7" w:rsidP="008E3CF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3.3.90.30.- MATERIAL DE CONSUMO</w:t>
      </w:r>
    </w:p>
    <w:p w:rsidR="008E3CF7" w:rsidRDefault="008E3CF7"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041/19, Pregão nº 19/19.</w:t>
      </w:r>
    </w:p>
    <w:p w:rsidR="002F31BC" w:rsidRDefault="002F31BC"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 DO FORO: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2F31BC">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p>
    <w:p w:rsidR="002F31BC" w:rsidRDefault="002F31BC" w:rsidP="002F31BC">
      <w:pPr>
        <w:pStyle w:val="ParagraphStyle"/>
        <w:jc w:val="center"/>
        <w:rPr>
          <w:rFonts w:ascii="Times New Roman" w:hAnsi="Times New Roman" w:cs="Times New Roman"/>
          <w:b/>
          <w:bCs/>
          <w:sz w:val="20"/>
          <w:szCs w:val="20"/>
        </w:rPr>
      </w:pPr>
    </w:p>
    <w:p w:rsidR="002F31BC" w:rsidRDefault="002F31BC" w:rsidP="008E3CF7">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2F31BC" w:rsidRDefault="002F31BC" w:rsidP="008E3CF7">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2F31BC" w:rsidRDefault="002F31BC" w:rsidP="002F31BC">
      <w:pPr>
        <w:pStyle w:val="Centered"/>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PREGÃO Nº 19/19;</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041/19.</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2F31BC" w:rsidRDefault="002F31BC" w:rsidP="002F31BC">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2F31BC">
        <w:trPr>
          <w:jc w:val="center"/>
        </w:trPr>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2F31BC">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2F31BC">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2F31BC" w:rsidRDefault="002F31BC" w:rsidP="002F31BC">
      <w:pPr>
        <w:pStyle w:val="ParagraphStyle"/>
        <w:rPr>
          <w:rFonts w:ascii="Times New Roman" w:hAnsi="Times New Roman" w:cs="Times New Roman"/>
          <w:sz w:val="22"/>
          <w:szCs w:val="22"/>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F31BC" w:rsidRDefault="002F31BC" w:rsidP="002F31BC">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Cargo</w:t>
      </w:r>
    </w:p>
    <w:p w:rsidR="002F31BC" w:rsidRDefault="002F31BC" w:rsidP="002F31BC">
      <w:pPr>
        <w:pStyle w:val="Centered"/>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2F31BC" w:rsidRDefault="002F31BC" w:rsidP="002F31BC">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2F31BC" w:rsidRDefault="002F31BC" w:rsidP="002F31BC">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19/19.</w:t>
      </w:r>
      <w:r>
        <w:rPr>
          <w:rFonts w:ascii="Times New Roman" w:hAnsi="Times New Roman" w:cs="Times New Roman"/>
          <w:sz w:val="20"/>
          <w:szCs w:val="20"/>
        </w:rPr>
        <w:tab/>
      </w:r>
      <w:r>
        <w:rPr>
          <w:rFonts w:ascii="Times New Roman" w:hAnsi="Times New Roman" w:cs="Times New Roman"/>
          <w:sz w:val="20"/>
          <w:szCs w:val="20"/>
        </w:rPr>
        <w:tab/>
        <w:t>.</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2F31BC" w:rsidRDefault="002F31BC" w:rsidP="002F31BC">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Centered"/>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AQUISIÇÃO DE MEDICAMENTOS QUE SERÃO NECESSÁRIOS PARA ATENDER AOS PACIENTES DO MUNICÍPIO DE FERNANDÓPOLIS/SP, COM DETERMINAÇÃO JUDICIAL, MEDIANTE APRESENTAÇÃO DE RECEITA MÉDICA, COM PREVISÃO DE CONSUMO PARCELADAMENTE EM ATÉ 12 (DOZE) MESES. </w:t>
      </w: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19/19, PROCESSO Nº 041/19,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AQUISIÇÃO DE MEDICAMENTOS QUE SERÃO NECESSÁRIOS PARA ATENDER AOS PACIENTES DO MUNICÍPIO DE FERNANDÓPOLIS/SP, COM DETERMINAÇÃO JUDICIAL, MEDIANTE APRESENTAÇÃO DE RECEITA MÉDICA, COM PREVISÃO DE CONSUMO PARCELADAMENTE EM ATÉ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2F31BC" w:rsidRDefault="002F31BC" w:rsidP="002F31BC">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2F31BC" w:rsidRDefault="002F31BC" w:rsidP="002F31BC">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2F31BC" w:rsidRDefault="002F31BC" w:rsidP="002F31BC">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2F31BC">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2F31BC">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2F31BC" w:rsidRDefault="002F31BC">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VIGÊNCIA DO CONTRATO:- ATÉ ________________________________, </w:t>
      </w:r>
      <w:r w:rsidR="008E3CF7">
        <w:rPr>
          <w:rFonts w:ascii="Times New Roman" w:hAnsi="Times New Roman" w:cs="Times New Roman"/>
          <w:b/>
          <w:bCs/>
          <w:sz w:val="20"/>
          <w:szCs w:val="20"/>
        </w:rPr>
        <w:t>SEM PRORROGAÇÃO</w:t>
      </w:r>
      <w:r>
        <w:rPr>
          <w:rFonts w:ascii="Times New Roman" w:hAnsi="Times New Roman" w:cs="Times New Roman"/>
          <w:b/>
          <w:bCs/>
          <w:sz w:val="20"/>
          <w:szCs w:val="20"/>
        </w:rPr>
        <w:t>.</w:t>
      </w:r>
    </w:p>
    <w:p w:rsidR="002F31BC" w:rsidRDefault="002F31BC" w:rsidP="002F31BC">
      <w:pPr>
        <w:pStyle w:val="ParagraphStyle"/>
        <w:jc w:val="both"/>
        <w:rPr>
          <w:rFonts w:ascii="Times New Roman" w:hAnsi="Times New Roman" w:cs="Times New Roman"/>
          <w:b/>
          <w:bCs/>
          <w:sz w:val="20"/>
          <w:szCs w:val="20"/>
        </w:rPr>
      </w:pPr>
    </w:p>
    <w:p w:rsidR="008E3CF7" w:rsidRDefault="008E3CF7" w:rsidP="002F31BC">
      <w:pPr>
        <w:pStyle w:val="ParagraphStyle"/>
        <w:jc w:val="both"/>
        <w:rPr>
          <w:rFonts w:ascii="Times New Roman" w:hAnsi="Times New Roman" w:cs="Times New Roman"/>
          <w:b/>
          <w:bCs/>
          <w:sz w:val="20"/>
          <w:szCs w:val="20"/>
        </w:rPr>
      </w:pPr>
      <w:r w:rsidRPr="008E3CF7">
        <w:rPr>
          <w:rFonts w:ascii="Times New Roman" w:hAnsi="Times New Roman" w:cs="Times New Roman"/>
          <w:b/>
          <w:bCs/>
          <w:sz w:val="20"/>
          <w:szCs w:val="20"/>
        </w:rPr>
        <w:t>O PRAZO DE VALIDADE DOS MEDICAMENTOS DEVERÁ SER ACIMA DE 15 (QUINZE) MESES A CONTAR DA DATA DA ENTREGA.</w:t>
      </w:r>
    </w:p>
    <w:p w:rsidR="002F31BC" w:rsidRDefault="002F31BC" w:rsidP="002F31BC">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2F31BC" w:rsidRDefault="002F31BC" w:rsidP="002F31BC">
      <w:pPr>
        <w:pStyle w:val="ParagraphStyle"/>
        <w:jc w:val="both"/>
        <w:rPr>
          <w:rFonts w:ascii="Times New Roman" w:hAnsi="Times New Roman" w:cs="Times New Roman"/>
          <w:b/>
          <w:bCs/>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F31BC" w:rsidRDefault="002F31BC" w:rsidP="002F31BC">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2F31BC" w:rsidRDefault="002F31BC" w:rsidP="002F31BC">
      <w:pPr>
        <w:pStyle w:val="ParagraphStyle"/>
        <w:jc w:val="both"/>
        <w:rPr>
          <w:rFonts w:ascii="Times New Roman" w:hAnsi="Times New Roman" w:cs="Times New Roman"/>
          <w:sz w:val="20"/>
          <w:szCs w:val="20"/>
        </w:rPr>
      </w:pP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2F31BC" w:rsidRDefault="002F31BC" w:rsidP="002F31BC">
      <w:pPr>
        <w:pStyle w:val="ParagraphStyle"/>
        <w:jc w:val="center"/>
        <w:rPr>
          <w:rFonts w:ascii="Times New Roman" w:hAnsi="Times New Roman" w:cs="Times New Roman"/>
          <w:sz w:val="20"/>
          <w:szCs w:val="20"/>
        </w:rPr>
      </w:pP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2F31BC" w:rsidRDefault="002F31BC" w:rsidP="002F31BC">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2F31BC" w:rsidRDefault="002F31BC" w:rsidP="002F31BC">
      <w:pPr>
        <w:pStyle w:val="ParagraphStyle"/>
        <w:rPr>
          <w:rFonts w:ascii="Times New Roman" w:hAnsi="Times New Roman" w:cs="Times New Roman"/>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2F31BC" w:rsidRDefault="002F31BC" w:rsidP="002F31BC">
      <w:pPr>
        <w:pStyle w:val="Centered"/>
        <w:rPr>
          <w:rFonts w:ascii="Times New Roman" w:hAnsi="Times New Roman" w:cs="Times New Roman"/>
          <w:b/>
          <w:bCs/>
          <w:sz w:val="20"/>
          <w:szCs w:val="20"/>
        </w:rPr>
      </w:pPr>
    </w:p>
    <w:p w:rsidR="002F31BC" w:rsidRDefault="002F31BC" w:rsidP="002F31BC">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2F31BC" w:rsidRDefault="002F31BC" w:rsidP="002F31BC">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2F31BC" w:rsidRP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2F31BC" w:rsidRPr="002F31BC" w:rsidRDefault="002F31BC" w:rsidP="002F31BC">
            <w:pPr>
              <w:pStyle w:val="ParagraphStyle"/>
              <w:jc w:val="center"/>
              <w:rPr>
                <w:rFonts w:ascii="Times New Roman" w:hAnsi="Times New Roman" w:cs="Times New Roman"/>
                <w:b/>
                <w:sz w:val="20"/>
                <w:szCs w:val="20"/>
              </w:rPr>
            </w:pPr>
            <w:r w:rsidRPr="002F31BC">
              <w:rPr>
                <w:rFonts w:ascii="Times New Roman" w:hAnsi="Times New Roman" w:cs="Times New Roman"/>
                <w:b/>
                <w:sz w:val="20"/>
                <w:szCs w:val="20"/>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2F31BC" w:rsidRPr="002F31BC" w:rsidRDefault="002F31BC" w:rsidP="002F31BC">
            <w:pPr>
              <w:pStyle w:val="ParagraphStyle"/>
              <w:jc w:val="center"/>
              <w:rPr>
                <w:rFonts w:ascii="Times New Roman" w:hAnsi="Times New Roman" w:cs="Times New Roman"/>
                <w:b/>
                <w:sz w:val="20"/>
                <w:szCs w:val="20"/>
              </w:rPr>
            </w:pPr>
            <w:r w:rsidRPr="002F31BC">
              <w:rPr>
                <w:rFonts w:ascii="Times New Roman" w:hAnsi="Times New Roman" w:cs="Times New Roman"/>
                <w:b/>
                <w:sz w:val="20"/>
                <w:szCs w:val="20"/>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2F31BC" w:rsidRPr="002F31BC" w:rsidRDefault="002F31BC" w:rsidP="002F31BC">
            <w:pPr>
              <w:pStyle w:val="ParagraphStyle"/>
              <w:jc w:val="center"/>
              <w:rPr>
                <w:rFonts w:ascii="Times New Roman" w:hAnsi="Times New Roman" w:cs="Times New Roman"/>
                <w:b/>
                <w:sz w:val="20"/>
                <w:szCs w:val="20"/>
              </w:rPr>
            </w:pPr>
            <w:r w:rsidRPr="002F31BC">
              <w:rPr>
                <w:rFonts w:ascii="Times New Roman" w:hAnsi="Times New Roman" w:cs="Times New Roman"/>
                <w:b/>
                <w:sz w:val="20"/>
                <w:szCs w:val="20"/>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2F31BC" w:rsidRPr="002F31BC" w:rsidRDefault="002F31BC" w:rsidP="002F31BC">
            <w:pPr>
              <w:pStyle w:val="ParagraphStyle"/>
              <w:jc w:val="center"/>
              <w:rPr>
                <w:rFonts w:ascii="Times New Roman" w:hAnsi="Times New Roman" w:cs="Times New Roman"/>
                <w:b/>
                <w:sz w:val="20"/>
                <w:szCs w:val="20"/>
              </w:rPr>
            </w:pPr>
            <w:r w:rsidRPr="002F31BC">
              <w:rPr>
                <w:rFonts w:ascii="Times New Roman" w:hAnsi="Times New Roman" w:cs="Times New Roman"/>
                <w:b/>
                <w:sz w:val="20"/>
                <w:szCs w:val="20"/>
              </w:rPr>
              <w:t>UNID.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ARIPIPRAZOL 30 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720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BACLOFENO 10 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5000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CALCICHELL 500 MG ENVELOPE DE 7G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360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CICLOBENZAPRINA 10 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2500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COLÍRIO COMBIGAN 10 ML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6</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GANFORT COLÍRIO </w:t>
            </w:r>
            <w:proofErr w:type="gramStart"/>
            <w:r>
              <w:rPr>
                <w:rFonts w:ascii="Times New Roman" w:hAnsi="Times New Roman" w:cs="Times New Roman"/>
                <w:sz w:val="20"/>
                <w:szCs w:val="20"/>
              </w:rPr>
              <w:t>3ML</w:t>
            </w:r>
            <w:proofErr w:type="gramEnd"/>
            <w:r>
              <w:rPr>
                <w:rFonts w:ascii="Times New Roman" w:hAnsi="Times New Roman" w:cs="Times New Roman"/>
                <w:sz w:val="20"/>
                <w:szCs w:val="20"/>
              </w:rPr>
              <w:t xml:space="preserve"> BIMATOPROSTA 0,03% + MALEATO DE TIMOLOL 0,5%</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30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FRS</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7</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DAPAGLIFLOZINA 10MG REFERÊNCIA: FORXIGA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8</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DEFLAZACORT 30MG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800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9</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EMPAGLIFLOZINA 25 MG REFERÊNCIA: JARDIANCE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360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DIAMICRON MR 60MG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2160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11</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PERICIAZINA 10MG REFERÊNCIA: NEULEPTIL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12</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RAMIPRIL 2,5 MG.</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540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13</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METILFENIDATO 20MG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RITALINA LA )</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540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14</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SAXAGLIPTINA 5MG + METFORMINA 1000MG COMPRIMIDO REVESTIDO. REFERÊNCIA: KOMBIGLYZE XR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1500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15</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SENARETI 29MG CPR</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16</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VALPROATO DE SÓDIO 200 MG/ ML 40 ML REFERÊNCIA: VALPAKINE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17</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VALPROATO DE SÓDIO 500 MG COMPRIMIDO REVESTIDO. REFERÊNCIA: VALPAKINE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2000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18</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VILDAGLIPTINA 50MG + METFORMINA 850MG COMPRIMIDO REVESTIDO. REFERÊNCIA: GALVUS MET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1008</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CP</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19</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VITAMINA C 200 MG/ML FRASCO COM 20 ML.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72</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20</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GLARGINA 100 UI/ML - FRASCO-AMPOLA 10 ML SOLUÇÃO INJETÁVEL, FRASCO-AMPOLA </w:t>
            </w:r>
            <w:proofErr w:type="gramStart"/>
            <w:r>
              <w:rPr>
                <w:rFonts w:ascii="Times New Roman" w:hAnsi="Times New Roman" w:cs="Times New Roman"/>
                <w:sz w:val="20"/>
                <w:szCs w:val="20"/>
              </w:rPr>
              <w:t>10ML</w:t>
            </w:r>
            <w:proofErr w:type="gramEnd"/>
            <w:r>
              <w:rPr>
                <w:rFonts w:ascii="Times New Roman" w:hAnsi="Times New Roman" w:cs="Times New Roman"/>
                <w:sz w:val="20"/>
                <w:szCs w:val="20"/>
              </w:rPr>
              <w:t>. REFERÊNCIA: LANTUS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350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21</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GLARGINA 100UI/ML </w:t>
            </w:r>
            <w:proofErr w:type="gramStart"/>
            <w:r>
              <w:rPr>
                <w:rFonts w:ascii="Times New Roman" w:hAnsi="Times New Roman" w:cs="Times New Roman"/>
                <w:sz w:val="20"/>
                <w:szCs w:val="20"/>
              </w:rPr>
              <w:t>3ML</w:t>
            </w:r>
            <w:proofErr w:type="gramEnd"/>
            <w:r>
              <w:rPr>
                <w:rFonts w:ascii="Times New Roman" w:hAnsi="Times New Roman" w:cs="Times New Roman"/>
                <w:sz w:val="20"/>
                <w:szCs w:val="20"/>
              </w:rPr>
              <w:t xml:space="preserve"> SOLUÇÃO INJETÁVEL; CANETA DESCARTÁVEL PREENCHIDA COM 3ML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216</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22</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GLULISINA 100UI/ML - FRASCO-AMPOLA </w:t>
            </w:r>
            <w:proofErr w:type="gramStart"/>
            <w:r>
              <w:rPr>
                <w:rFonts w:ascii="Times New Roman" w:hAnsi="Times New Roman" w:cs="Times New Roman"/>
                <w:sz w:val="20"/>
                <w:szCs w:val="20"/>
              </w:rPr>
              <w:t>10ML</w:t>
            </w:r>
            <w:proofErr w:type="gramEnd"/>
            <w:r>
              <w:rPr>
                <w:rFonts w:ascii="Times New Roman" w:hAnsi="Times New Roman" w:cs="Times New Roman"/>
                <w:sz w:val="20"/>
                <w:szCs w:val="20"/>
              </w:rPr>
              <w:t xml:space="preserve"> SOLUÇÃO INJETÁVEL, FRASCO AMPOLA 10 ML. REFERÊNCIA: APIDRA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90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FRS</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23</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GLULISINA 100UI/ML - REFIL </w:t>
            </w:r>
            <w:proofErr w:type="gramStart"/>
            <w:r>
              <w:rPr>
                <w:rFonts w:ascii="Times New Roman" w:hAnsi="Times New Roman" w:cs="Times New Roman"/>
                <w:sz w:val="20"/>
                <w:szCs w:val="20"/>
              </w:rPr>
              <w:t>3ML</w:t>
            </w:r>
            <w:proofErr w:type="gramEnd"/>
            <w:r>
              <w:rPr>
                <w:rFonts w:ascii="Times New Roman" w:hAnsi="Times New Roman" w:cs="Times New Roman"/>
                <w:sz w:val="20"/>
                <w:szCs w:val="20"/>
              </w:rPr>
              <w:t xml:space="preserve"> SOLUÇÃO INJETÁVEL, REFIL 3 ML. REFERÊNCIA: APIDRA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252</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24</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LISPRO (HUMALOG MIX 25 KWIK PEN) CANETA </w:t>
            </w:r>
            <w:proofErr w:type="gramStart"/>
            <w:r>
              <w:rPr>
                <w:rFonts w:ascii="Times New Roman" w:hAnsi="Times New Roman" w:cs="Times New Roman"/>
                <w:sz w:val="20"/>
                <w:szCs w:val="20"/>
              </w:rPr>
              <w:t>3ML</w:t>
            </w:r>
            <w:proofErr w:type="gramEnd"/>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126</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25</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DETEMIR 100UI/ML SOLUÇÃO INJETAVEL, CANETA DESCARTÁVEL PREENCHIDA COM </w:t>
            </w:r>
            <w:proofErr w:type="gramStart"/>
            <w:r>
              <w:rPr>
                <w:rFonts w:ascii="Times New Roman" w:hAnsi="Times New Roman" w:cs="Times New Roman"/>
                <w:sz w:val="20"/>
                <w:szCs w:val="20"/>
              </w:rPr>
              <w:t>3ML</w:t>
            </w:r>
            <w:proofErr w:type="gramEnd"/>
            <w:r>
              <w:rPr>
                <w:rFonts w:ascii="Times New Roman" w:hAnsi="Times New Roman" w:cs="Times New Roman"/>
                <w:sz w:val="20"/>
                <w:szCs w:val="20"/>
              </w:rPr>
              <w:t>.</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100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FRS</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26</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LISPRO 100 UI/ML - SISTEMA DE APLICAÇÃO DESCARTÁVEL PREENCHIDO COM </w:t>
            </w: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ML SOLUÇÃO AQUOSA CLARA, INCOLOR, CONTENDO 100 UI/ML DE INSULINA LISPRO (ADN* RECOMBINANTE). SISTEMA DE APLICAÇÃO DESCARTÁVEL CONTENDO </w:t>
            </w: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ML . REFERÊNCIA: HUMALOG KWIKPEN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36</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w:t>
            </w:r>
          </w:p>
        </w:tc>
      </w:tr>
      <w:tr w:rsidR="002F31BC" w:rsidTr="002F31BC">
        <w:trPr>
          <w:jc w:val="center"/>
        </w:trPr>
        <w:tc>
          <w:tcPr>
            <w:tcW w:w="279"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27</w:t>
            </w:r>
          </w:p>
        </w:tc>
        <w:tc>
          <w:tcPr>
            <w:tcW w:w="4205"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INSULINA DEGLUDECA 100 UI/ ML - SISTEMA DE APLICAÇÃO DESCARTÁVEL PREENCHIDO COM </w:t>
            </w: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ML SISTEMA DE APLICAÇÃO PREENCHIDO COM 3 ML DE SOLUÇÃO INJETÁVEL DE INSULINA DEGLUDECA. REFERÊNCIA: TRESIBA FLEXTOUCH (DETERMINAÇÃO JUDICIAL).</w:t>
            </w:r>
          </w:p>
        </w:tc>
        <w:tc>
          <w:tcPr>
            <w:tcW w:w="222"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90</w:t>
            </w:r>
          </w:p>
        </w:tc>
        <w:tc>
          <w:tcPr>
            <w:tcW w:w="294" w:type="pct"/>
            <w:tcBorders>
              <w:top w:val="single" w:sz="2" w:space="0" w:color="000000"/>
              <w:left w:val="single" w:sz="2" w:space="0" w:color="000000"/>
              <w:bottom w:val="single" w:sz="2" w:space="0" w:color="000000"/>
              <w:right w:val="single" w:sz="2" w:space="0" w:color="000000"/>
            </w:tcBorders>
          </w:tcPr>
          <w:p w:rsidR="002F31BC" w:rsidRDefault="002F31BC" w:rsidP="002F31BC">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bl>
    <w:p w:rsidR="002F31BC" w:rsidRDefault="002F31BC" w:rsidP="002F31BC">
      <w:pPr>
        <w:pStyle w:val="ParagraphStyle"/>
        <w:spacing w:after="195" w:line="276" w:lineRule="auto"/>
        <w:rPr>
          <w:rFonts w:ascii="Times New Roman" w:hAnsi="Times New Roman" w:cs="Times New Roman"/>
          <w:sz w:val="20"/>
          <w:szCs w:val="20"/>
        </w:rPr>
      </w:pPr>
    </w:p>
    <w:p w:rsidR="002F31BC" w:rsidRDefault="002F31BC" w:rsidP="002F31BC">
      <w:pPr>
        <w:pStyle w:val="ParagraphStyle"/>
        <w:rPr>
          <w:rFonts w:ascii="Times New Roman" w:hAnsi="Times New Roman" w:cs="Times New Roman"/>
          <w:sz w:val="20"/>
          <w:szCs w:val="20"/>
        </w:rPr>
      </w:pPr>
    </w:p>
    <w:p w:rsidR="00C912C2" w:rsidRPr="002F31BC" w:rsidRDefault="00C912C2" w:rsidP="002F31BC">
      <w:pPr>
        <w:rPr>
          <w:szCs w:val="20"/>
        </w:rPr>
      </w:pPr>
    </w:p>
    <w:sectPr w:rsidR="00C912C2" w:rsidRPr="002F31BC"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BCB" w:rsidRDefault="00391BCB" w:rsidP="00D16257">
      <w:pPr>
        <w:spacing w:after="0" w:line="240" w:lineRule="auto"/>
      </w:pPr>
      <w:r>
        <w:separator/>
      </w:r>
    </w:p>
  </w:endnote>
  <w:endnote w:type="continuationSeparator" w:id="0">
    <w:p w:rsidR="00391BCB" w:rsidRDefault="00391BC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BCB" w:rsidRDefault="00391BCB" w:rsidP="00D16257">
      <w:pPr>
        <w:spacing w:after="0" w:line="240" w:lineRule="auto"/>
      </w:pPr>
      <w:r>
        <w:separator/>
      </w:r>
    </w:p>
  </w:footnote>
  <w:footnote w:type="continuationSeparator" w:id="0">
    <w:p w:rsidR="00391BCB" w:rsidRDefault="00391BC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D16257" w:rsidRDefault="00235835"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C708B" w:rsidRDefault="003C708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235835" w:rsidRPr="00235835">
                      <w:rPr>
                        <w:rFonts w:asciiTheme="minorHAnsi" w:eastAsiaTheme="minorEastAsia" w:hAnsiTheme="minorHAnsi" w:cstheme="minorBidi"/>
                        <w:szCs w:val="21"/>
                      </w:rPr>
                      <w:fldChar w:fldCharType="begin"/>
                    </w:r>
                    <w:r>
                      <w:instrText>PAGE    \* MERGEFORMAT</w:instrText>
                    </w:r>
                    <w:r w:rsidR="00235835" w:rsidRPr="00235835">
                      <w:rPr>
                        <w:rFonts w:asciiTheme="minorHAnsi" w:eastAsiaTheme="minorEastAsia" w:hAnsiTheme="minorHAnsi" w:cstheme="minorBidi"/>
                        <w:szCs w:val="21"/>
                      </w:rPr>
                      <w:fldChar w:fldCharType="separate"/>
                    </w:r>
                    <w:r w:rsidR="00F63682" w:rsidRPr="00F63682">
                      <w:rPr>
                        <w:rFonts w:asciiTheme="majorHAnsi" w:eastAsiaTheme="majorEastAsia" w:hAnsiTheme="majorHAnsi" w:cstheme="majorBidi"/>
                        <w:noProof/>
                        <w:sz w:val="44"/>
                        <w:szCs w:val="44"/>
                      </w:rPr>
                      <w:t>24</w:t>
                    </w:r>
                    <w:r w:rsidR="00235835">
                      <w:rPr>
                        <w:rFonts w:asciiTheme="majorHAnsi" w:eastAsiaTheme="majorEastAsia" w:hAnsiTheme="majorHAnsi" w:cstheme="majorBidi"/>
                        <w:sz w:val="44"/>
                        <w:szCs w:val="44"/>
                      </w:rPr>
                      <w:fldChar w:fldCharType="end"/>
                    </w:r>
                  </w:p>
                </w:txbxContent>
              </v:textbox>
              <w10:wrap anchorx="margin" anchory="margin"/>
            </v:rect>
          </w:pict>
        </w:r>
      </w:sdtContent>
    </w:sdt>
    <w:r w:rsidR="00F63682">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03426"/>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4F25"/>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A068D"/>
    <w:rsid w:val="001C5096"/>
    <w:rsid w:val="001E014B"/>
    <w:rsid w:val="001F59CE"/>
    <w:rsid w:val="001F660F"/>
    <w:rsid w:val="001F7F2E"/>
    <w:rsid w:val="0021252F"/>
    <w:rsid w:val="00220B76"/>
    <w:rsid w:val="00235835"/>
    <w:rsid w:val="002457B5"/>
    <w:rsid w:val="00252119"/>
    <w:rsid w:val="00254443"/>
    <w:rsid w:val="002726CC"/>
    <w:rsid w:val="00273534"/>
    <w:rsid w:val="00290E40"/>
    <w:rsid w:val="00293701"/>
    <w:rsid w:val="002A5C36"/>
    <w:rsid w:val="002B251E"/>
    <w:rsid w:val="002B511B"/>
    <w:rsid w:val="002C22B6"/>
    <w:rsid w:val="002D0099"/>
    <w:rsid w:val="002D2502"/>
    <w:rsid w:val="002D262E"/>
    <w:rsid w:val="002E5572"/>
    <w:rsid w:val="002F31BC"/>
    <w:rsid w:val="003000E7"/>
    <w:rsid w:val="0030390C"/>
    <w:rsid w:val="00314EA1"/>
    <w:rsid w:val="00315F68"/>
    <w:rsid w:val="003202E2"/>
    <w:rsid w:val="003249B8"/>
    <w:rsid w:val="0033141A"/>
    <w:rsid w:val="003473BD"/>
    <w:rsid w:val="003621FE"/>
    <w:rsid w:val="00381EDC"/>
    <w:rsid w:val="00391BCB"/>
    <w:rsid w:val="003A6416"/>
    <w:rsid w:val="003A6AFB"/>
    <w:rsid w:val="003A7B43"/>
    <w:rsid w:val="003C5923"/>
    <w:rsid w:val="003C708B"/>
    <w:rsid w:val="003D0A77"/>
    <w:rsid w:val="003D0CB3"/>
    <w:rsid w:val="003F4E6C"/>
    <w:rsid w:val="00402576"/>
    <w:rsid w:val="004050D3"/>
    <w:rsid w:val="00406EDF"/>
    <w:rsid w:val="00406FD5"/>
    <w:rsid w:val="004073A0"/>
    <w:rsid w:val="00410A3F"/>
    <w:rsid w:val="00436AD3"/>
    <w:rsid w:val="00437382"/>
    <w:rsid w:val="00446CB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80910"/>
    <w:rsid w:val="00595E3D"/>
    <w:rsid w:val="005977AB"/>
    <w:rsid w:val="005A4522"/>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3682"/>
    <w:rsid w:val="00F93D74"/>
    <w:rsid w:val="00FA03CF"/>
    <w:rsid w:val="00FA0DD0"/>
    <w:rsid w:val="00FB3E67"/>
    <w:rsid w:val="00FB50A5"/>
    <w:rsid w:val="00FB7399"/>
    <w:rsid w:val="00FC3BF8"/>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C084A-08D6-4992-BE65-6A54F016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23007</TotalTime>
  <Pages>1</Pages>
  <Words>11479</Words>
  <Characters>61989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126</cp:revision>
  <cp:lastPrinted>2019-03-14T19:06:00Z</cp:lastPrinted>
  <dcterms:created xsi:type="dcterms:W3CDTF">2017-07-25T12:38:00Z</dcterms:created>
  <dcterms:modified xsi:type="dcterms:W3CDTF">2019-03-14T19:08:00Z</dcterms:modified>
</cp:coreProperties>
</file>