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A9" w:rsidRDefault="00E813A9" w:rsidP="00E813A9">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032/19.</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PROCESSO Nº 075/19.</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FD4AC9">
        <w:rPr>
          <w:rFonts w:ascii="Times New Roman" w:hAnsi="Times New Roman" w:cs="Times New Roman"/>
          <w:b/>
          <w:bCs/>
          <w:sz w:val="20"/>
          <w:szCs w:val="20"/>
        </w:rPr>
        <w:t>17</w:t>
      </w:r>
      <w:r w:rsidR="00850C13">
        <w:rPr>
          <w:rFonts w:ascii="Times New Roman" w:hAnsi="Times New Roman" w:cs="Times New Roman"/>
          <w:b/>
          <w:bCs/>
          <w:sz w:val="20"/>
          <w:szCs w:val="20"/>
        </w:rPr>
        <w:t xml:space="preserve"> de abril de </w:t>
      </w:r>
      <w:r>
        <w:rPr>
          <w:rFonts w:ascii="Times New Roman" w:hAnsi="Times New Roman" w:cs="Times New Roman"/>
          <w:b/>
          <w:bCs/>
          <w:sz w:val="20"/>
          <w:szCs w:val="20"/>
        </w:rPr>
        <w:t>2019.</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850C13">
        <w:rPr>
          <w:rFonts w:ascii="Times New Roman" w:hAnsi="Times New Roman" w:cs="Times New Roman"/>
          <w:b/>
          <w:bCs/>
          <w:sz w:val="20"/>
          <w:szCs w:val="20"/>
        </w:rPr>
        <w:t>14</w:t>
      </w:r>
      <w:r>
        <w:rPr>
          <w:rFonts w:ascii="Times New Roman" w:hAnsi="Times New Roman" w:cs="Times New Roman"/>
          <w:b/>
          <w:bCs/>
          <w:sz w:val="20"/>
          <w:szCs w:val="20"/>
        </w:rPr>
        <w:t>:</w:t>
      </w:r>
      <w:r w:rsidR="00850C13">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850C13">
        <w:rPr>
          <w:rFonts w:ascii="Times New Roman" w:hAnsi="Times New Roman" w:cs="Times New Roman"/>
          <w:b/>
          <w:bCs/>
          <w:sz w:val="20"/>
          <w:szCs w:val="20"/>
        </w:rPr>
        <w:t>catorze horas e trinta minutos</w:t>
      </w:r>
      <w:r>
        <w:rPr>
          <w:rFonts w:ascii="Times New Roman" w:hAnsi="Times New Roman" w:cs="Times New Roman"/>
          <w:b/>
          <w:bCs/>
          <w:sz w:val="20"/>
          <w:szCs w:val="20"/>
        </w:rPr>
        <w:t>).</w:t>
      </w:r>
    </w:p>
    <w:p w:rsidR="00E813A9" w:rsidRDefault="00E813A9" w:rsidP="00E813A9">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E813A9" w:rsidRDefault="00E813A9" w:rsidP="00E813A9">
      <w:pPr>
        <w:pStyle w:val="ParagraphStyle"/>
        <w:ind w:left="1080" w:hanging="1080"/>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DE ATA DE REGISTRO DE PREÇOS PARA AQUISIÇÃO DE TIRAS REAGENTES QUE SERÃO DISPENSADAS AOS PACIENTES INSULINOS DEPENDENTES CADASTRADOS NA FARMÁCIA MUNICIPAL, COM PREVISÃO DE CONSUMO PARCELADAMENTE NO DECORRER DE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850C13">
        <w:rPr>
          <w:rFonts w:ascii="Times New Roman" w:hAnsi="Times New Roman" w:cs="Times New Roman"/>
          <w:b/>
          <w:bCs/>
          <w:sz w:val="20"/>
          <w:szCs w:val="20"/>
        </w:rPr>
        <w:t>14</w:t>
      </w:r>
      <w:r>
        <w:rPr>
          <w:rFonts w:ascii="Times New Roman" w:hAnsi="Times New Roman" w:cs="Times New Roman"/>
          <w:b/>
          <w:bCs/>
          <w:sz w:val="20"/>
          <w:szCs w:val="20"/>
        </w:rPr>
        <w:t>:</w:t>
      </w:r>
      <w:r w:rsidR="00850C13">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850C13">
        <w:rPr>
          <w:rFonts w:ascii="Times New Roman" w:hAnsi="Times New Roman" w:cs="Times New Roman"/>
          <w:b/>
          <w:bCs/>
          <w:sz w:val="20"/>
          <w:szCs w:val="20"/>
        </w:rPr>
        <w:t>1</w:t>
      </w:r>
      <w:r w:rsidR="00FD4AC9">
        <w:rPr>
          <w:rFonts w:ascii="Times New Roman" w:hAnsi="Times New Roman" w:cs="Times New Roman"/>
          <w:b/>
          <w:bCs/>
          <w:sz w:val="20"/>
          <w:szCs w:val="20"/>
        </w:rPr>
        <w:t>7</w:t>
      </w:r>
      <w:r w:rsidR="00850C13">
        <w:rPr>
          <w:rFonts w:ascii="Times New Roman" w:hAnsi="Times New Roman" w:cs="Times New Roman"/>
          <w:b/>
          <w:bCs/>
          <w:sz w:val="20"/>
          <w:szCs w:val="20"/>
        </w:rPr>
        <w:t xml:space="preserve"> de abril de 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E813A9" w:rsidRDefault="00E813A9" w:rsidP="00E813A9">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DE ATA DE REGISTRO DE PREÇOS PARA AQUISIÇÃO DE TIRAS REAGENTES QUE SERÃO DISPENSADAS AOS PACIENTES INSULINOS DEPENDENTES CADASTRADOS NA FARMÁCIA MUNICIPAL, COM PREVISÃO DE CONSUMO PARCELADAMENTE NO DECORRER DE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E813A9" w:rsidRDefault="00E813A9" w:rsidP="00E813A9">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rPr>
      </w:pPr>
    </w:p>
    <w:p w:rsidR="00E813A9" w:rsidRDefault="00E813A9" w:rsidP="00E813A9">
      <w:pPr>
        <w:pStyle w:val="ParagraphStyle"/>
        <w:jc w:val="both"/>
        <w:rPr>
          <w:rFonts w:ascii="Times New Roman" w:hAnsi="Times New Roman" w:cs="Times New Roman"/>
          <w:b/>
          <w:bCs/>
        </w:rPr>
      </w:pPr>
      <w:r>
        <w:rPr>
          <w:rFonts w:ascii="Times New Roman" w:hAnsi="Times New Roman" w:cs="Times New Roman"/>
          <w:b/>
          <w:bCs/>
        </w:rPr>
        <w:t>2 - DA PARTICIPAÇÃO.</w:t>
      </w:r>
    </w:p>
    <w:p w:rsidR="00E813A9" w:rsidRDefault="00E813A9" w:rsidP="00E813A9">
      <w:pPr>
        <w:pStyle w:val="ParagraphStyle"/>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u w:val="single"/>
        </w:rPr>
        <w:t xml:space="preserve">O ITEM 02 É EXCLUSIVO PARA </w:t>
      </w:r>
      <w:proofErr w:type="spellStart"/>
      <w:r>
        <w:rPr>
          <w:rFonts w:ascii="Times New Roman" w:hAnsi="Times New Roman" w:cs="Times New Roman"/>
          <w:b/>
          <w:bCs/>
          <w:u w:val="single"/>
        </w:rPr>
        <w:t>MEs</w:t>
      </w:r>
      <w:proofErr w:type="spellEnd"/>
      <w:r>
        <w:rPr>
          <w:rFonts w:ascii="Times New Roman" w:hAnsi="Times New Roman" w:cs="Times New Roman"/>
          <w:b/>
          <w:bCs/>
          <w:u w:val="single"/>
        </w:rPr>
        <w:t xml:space="preserve"> e </w:t>
      </w:r>
      <w:proofErr w:type="spellStart"/>
      <w:r>
        <w:rPr>
          <w:rFonts w:ascii="Times New Roman" w:hAnsi="Times New Roman" w:cs="Times New Roman"/>
          <w:b/>
          <w:bCs/>
          <w:u w:val="single"/>
        </w:rPr>
        <w:t>EPPs</w:t>
      </w:r>
      <w:proofErr w:type="spellEnd"/>
      <w:r>
        <w:rPr>
          <w:rFonts w:ascii="Times New Roman" w:hAnsi="Times New Roman" w:cs="Times New Roman"/>
          <w:b/>
          <w:bCs/>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E813A9" w:rsidRDefault="00E813A9" w:rsidP="00E813A9">
      <w:pPr>
        <w:pStyle w:val="ParagraphStyle"/>
        <w:jc w:val="both"/>
        <w:rPr>
          <w:rFonts w:ascii="Times New Roman" w:hAnsi="Times New Roman" w:cs="Times New Roman"/>
          <w:b/>
          <w:bCs/>
        </w:rPr>
      </w:pPr>
      <w:proofErr w:type="gramStart"/>
      <w:r w:rsidRPr="00E813A9">
        <w:rPr>
          <w:rFonts w:ascii="Times New Roman" w:hAnsi="Times New Roman" w:cs="Times New Roman"/>
          <w:b/>
          <w:bCs/>
        </w:rPr>
        <w:t>2.2 Em cumprimento ao estipulado na Lei Complementar nº</w:t>
      </w:r>
      <w:proofErr w:type="gramEnd"/>
      <w:r w:rsidRPr="00E813A9">
        <w:rPr>
          <w:rFonts w:ascii="Times New Roman" w:hAnsi="Times New Roman" w:cs="Times New Roman"/>
          <w:b/>
          <w:bCs/>
        </w:rPr>
        <w:t xml:space="preserve"> 123, de 14 de dezembro de 2006, cada item será separado em dois, sendo um composto por 75% e o outro por 25% do total do produto que se pretende comprar, ou o mais próximo disso, caso seja necessário o arredondamento para se evitar fracionamento. </w:t>
      </w:r>
    </w:p>
    <w:p w:rsidR="00E813A9" w:rsidRDefault="00E813A9" w:rsidP="00E813A9">
      <w:pPr>
        <w:pStyle w:val="ParagraphStyle"/>
        <w:jc w:val="both"/>
        <w:rPr>
          <w:rFonts w:ascii="Times New Roman" w:hAnsi="Times New Roman" w:cs="Times New Roman"/>
          <w:b/>
          <w:bCs/>
        </w:rPr>
      </w:pPr>
      <w:r>
        <w:rPr>
          <w:rFonts w:ascii="Times New Roman" w:hAnsi="Times New Roman" w:cs="Times New Roman"/>
          <w:b/>
          <w:bCs/>
        </w:rPr>
        <w:lastRenderedPageBreak/>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E813A9" w:rsidRDefault="00E813A9" w:rsidP="00E813A9">
      <w:pPr>
        <w:pStyle w:val="ParagraphStyle"/>
        <w:jc w:val="both"/>
        <w:rPr>
          <w:rFonts w:ascii="Times New Roman" w:hAnsi="Times New Roman" w:cs="Times New Roman"/>
          <w:b/>
          <w:bCs/>
          <w:sz w:val="20"/>
          <w:szCs w:val="20"/>
        </w:rPr>
      </w:pPr>
    </w:p>
    <w:p w:rsidR="00370BD9" w:rsidRDefault="00370BD9" w:rsidP="00370BD9">
      <w:pPr>
        <w:jc w:val="both"/>
        <w:rPr>
          <w:rFonts w:ascii="Times New Roman" w:hAnsi="Times New Roman"/>
          <w:color w:val="000000" w:themeColor="text1"/>
        </w:rPr>
      </w:pPr>
      <w:r w:rsidRPr="00370BD9">
        <w:rPr>
          <w:rFonts w:ascii="Times New Roman" w:hAnsi="Times New Roman"/>
          <w:bCs/>
          <w:color w:val="000000"/>
          <w:lang w:eastAsia="pt-BR"/>
        </w:rPr>
        <w:t>2.</w:t>
      </w:r>
      <w:r w:rsidRPr="00370BD9">
        <w:rPr>
          <w:rFonts w:ascii="Times New Roman" w:hAnsi="Times New Roman"/>
          <w:bCs/>
          <w:color w:val="000000" w:themeColor="text1"/>
          <w:lang w:eastAsia="pt-BR"/>
        </w:rPr>
        <w:t>4</w:t>
      </w:r>
      <w:r w:rsidRPr="00370BD9">
        <w:rPr>
          <w:rFonts w:ascii="Times New Roman" w:eastAsia="Times New Roman" w:hAnsi="Times New Roman"/>
          <w:bCs/>
          <w:color w:val="000000"/>
          <w:lang w:eastAsia="pt-BR"/>
        </w:rPr>
        <w:t xml:space="preserve">. </w:t>
      </w:r>
      <w:r w:rsidRPr="00370BD9">
        <w:rPr>
          <w:rFonts w:ascii="Times New Roman" w:hAnsi="Times New Roman"/>
          <w:color w:val="000000"/>
        </w:rPr>
        <w:t xml:space="preserve">A(S) EMPRESA(S) VENCEDORA(S) </w:t>
      </w:r>
      <w:proofErr w:type="gramStart"/>
      <w:r w:rsidRPr="00370BD9">
        <w:rPr>
          <w:rFonts w:ascii="Times New Roman" w:hAnsi="Times New Roman"/>
          <w:color w:val="000000"/>
        </w:rPr>
        <w:t>DEVERÁ(</w:t>
      </w:r>
      <w:proofErr w:type="gramEnd"/>
      <w:r w:rsidRPr="00370BD9">
        <w:rPr>
          <w:rFonts w:ascii="Times New Roman" w:hAnsi="Times New Roman"/>
          <w:color w:val="000000"/>
        </w:rPr>
        <w:t xml:space="preserve">ÃO) FORNECER APARELHOS/MONITORES MEDIDORES DE GLICEMIA, EM NÚMERO DE EM ATÉ 4000 UNIDADES, EM REGIME DE COMODATO OU DOAÇÃO, ENQUANTO DURAR O FORNECIMENTO, COMPATÍVEIS COM A MARCA DA </w:t>
      </w:r>
      <w:r w:rsidRPr="00370BD9">
        <w:rPr>
          <w:rFonts w:ascii="Times New Roman" w:hAnsi="Times New Roman"/>
          <w:color w:val="000000" w:themeColor="text1"/>
        </w:rPr>
        <w:t>T</w:t>
      </w:r>
      <w:r w:rsidRPr="00370BD9">
        <w:rPr>
          <w:rFonts w:ascii="Times New Roman" w:hAnsi="Times New Roman"/>
          <w:color w:val="000000"/>
        </w:rPr>
        <w:t>I</w:t>
      </w:r>
      <w:r w:rsidRPr="00370BD9">
        <w:rPr>
          <w:rFonts w:ascii="Times New Roman" w:hAnsi="Times New Roman"/>
          <w:color w:val="000000" w:themeColor="text1"/>
        </w:rPr>
        <w:t>R</w:t>
      </w:r>
      <w:r w:rsidRPr="00370BD9">
        <w:rPr>
          <w:rFonts w:ascii="Times New Roman" w:hAnsi="Times New Roman"/>
          <w:color w:val="000000"/>
        </w:rPr>
        <w:t xml:space="preserve">A REAGENTE OFERECIDA, DEVERÁ TER CAPACIDADE DE ARMAZENAR AO MENOS </w:t>
      </w:r>
      <w:r w:rsidRPr="00370BD9">
        <w:rPr>
          <w:rFonts w:ascii="Times New Roman" w:hAnsi="Times New Roman"/>
          <w:color w:val="000000" w:themeColor="text1"/>
        </w:rPr>
        <w:t>400</w:t>
      </w:r>
      <w:r w:rsidRPr="00370BD9">
        <w:rPr>
          <w:rFonts w:ascii="Times New Roman" w:hAnsi="Times New Roman"/>
          <w:color w:val="000000"/>
        </w:rPr>
        <w:t xml:space="preserve"> TESTES NA MEMÓRIA, </w:t>
      </w:r>
      <w:r w:rsidRPr="00370BD9">
        <w:rPr>
          <w:rFonts w:ascii="Times New Roman" w:hAnsi="Times New Roman"/>
          <w:color w:val="000000" w:themeColor="text1"/>
        </w:rPr>
        <w:t xml:space="preserve">PARA GERENCIAMENTO DE DADOS DOS PACIENTES, </w:t>
      </w:r>
      <w:r w:rsidRPr="00370BD9">
        <w:rPr>
          <w:rFonts w:ascii="Times New Roman" w:hAnsi="Times New Roman"/>
          <w:color w:val="000000"/>
        </w:rPr>
        <w:t>DEVERÃO ESTAR DE ACORDO COM AS NORMAS ESTABELECIDAS PELO MINISTÉRIO DE SAÚDE / ANVISA</w:t>
      </w:r>
      <w:r w:rsidRPr="00370BD9">
        <w:rPr>
          <w:rFonts w:ascii="Times New Roman" w:hAnsi="Times New Roman"/>
          <w:color w:val="000000" w:themeColor="text1"/>
        </w:rPr>
        <w:t xml:space="preserve"> E ATENDER REQUISITOS DA NORMA TÉCNICA ISO 15197 DE 2013</w:t>
      </w:r>
      <w:r w:rsidRPr="00370BD9">
        <w:rPr>
          <w:rFonts w:ascii="Times New Roman" w:hAnsi="Times New Roman"/>
          <w:color w:val="000000"/>
        </w:rPr>
        <w:t xml:space="preserve">.  </w:t>
      </w:r>
      <w:proofErr w:type="gramStart"/>
      <w:r w:rsidRPr="00370BD9">
        <w:rPr>
          <w:rFonts w:ascii="Times New Roman" w:hAnsi="Times New Roman"/>
          <w:color w:val="000000" w:themeColor="text1"/>
        </w:rPr>
        <w:t>TODOS</w:t>
      </w:r>
      <w:proofErr w:type="gramEnd"/>
      <w:r w:rsidRPr="00370BD9">
        <w:rPr>
          <w:rFonts w:ascii="Times New Roman" w:hAnsi="Times New Roman"/>
          <w:color w:val="000000" w:themeColor="text1"/>
        </w:rPr>
        <w:t xml:space="preserve"> APARELHOS DEVERÃO EFETUAR OS TESTES USANDO QUALQUER QUÍMICA ENZIMÁTICA POR LEITURA FOTOMÉTRICA OU AMPEROMÉTRICA, EXCETO A GDH – PQQ OU MUT. Q - GDH, ATENDENDO O ALERTA 1596 DA ANVISA</w:t>
      </w:r>
      <w:r>
        <w:rPr>
          <w:rFonts w:ascii="Times New Roman" w:hAnsi="Times New Roman"/>
          <w:color w:val="000000" w:themeColor="text1"/>
        </w:rPr>
        <w:t>.</w:t>
      </w:r>
    </w:p>
    <w:p w:rsidR="00370BD9" w:rsidRDefault="00370BD9" w:rsidP="00370BD9">
      <w:pPr>
        <w:jc w:val="both"/>
        <w:rPr>
          <w:rFonts w:ascii="Times New Roman" w:eastAsiaTheme="minorHAnsi" w:hAnsi="Times New Roman"/>
        </w:rPr>
      </w:pPr>
      <w:r w:rsidRPr="00370BD9">
        <w:rPr>
          <w:rFonts w:ascii="Times New Roman" w:hAnsi="Times New Roman"/>
          <w:color w:val="000000" w:themeColor="text1"/>
        </w:rPr>
        <w:t xml:space="preserve">2.5. </w:t>
      </w:r>
      <w:r w:rsidRPr="00370BD9">
        <w:rPr>
          <w:rFonts w:ascii="Times New Roman" w:eastAsiaTheme="minorHAnsi" w:hAnsi="Times New Roman"/>
        </w:rPr>
        <w:t xml:space="preserve">A QUANTIDADE DE APARELHOS A SEREM FORNECIDOS DEVERÁ SER DE 4.000 (QUATRO MIL) UNIDADES EM COMODATO OU DOAÇÃO. REPOSIÇÃO IMEDIATA DE APARELHOS COM DEFEITOS. FORNECER PILHAS OU BATERIAS GRÁTIS, COMPATÍVEIS COM OS APARELHOS. APRESENTAR AMOSTRA DAS TIRAS E DO APARELHO. A EMPRESA VENCEDORA DEVERÁ INSTALAR SOFTWARE DE GERENCIAMENTO DE CONSUMO DAS TIRAS ATRAVÉS DE DOWNLOAD EM COMPUTADOR NA VERSÃO EM PORTUGUÊS E ORIENTAÇÃO AOS FUNCIONÁRIOS. O MATERIAL DEVERÁ TRAZER ESTAMPADO, OBRIGATORIAMENTE NA EMBALAGEM EXTERNA DO PRODUTO AS SEGUINTES INFORMAÇÕES: DADOS DE IDENTIFICAÇÃO, PROCEDÊNCIA, NÚMERO DE LOTE, DATA DE FABRICAÇÃO, PRAZO DE VALIDADE E NÚMERO DE REGISTRO NO MINISTÉRIO DA SAÚDE E/OU ANVISA, CBPF EMITIDO PELA ANVISA, CONFORME RDC Nº 16 DE 28/03/2013. </w:t>
      </w:r>
    </w:p>
    <w:p w:rsidR="00A93D99" w:rsidRPr="00370BD9" w:rsidRDefault="00A93D99" w:rsidP="00370BD9">
      <w:pPr>
        <w:jc w:val="both"/>
        <w:rPr>
          <w:rFonts w:ascii="Times New Roman" w:hAnsi="Times New Roman"/>
          <w:color w:val="000000" w:themeColor="text1"/>
        </w:rPr>
      </w:pPr>
      <w:r>
        <w:rPr>
          <w:rFonts w:ascii="Times New Roman" w:eastAsiaTheme="minorHAnsi" w:hAnsi="Times New Roman"/>
        </w:rPr>
        <w:t>2.6. A QUANTIDADE A SER FORNECIDA DEVERÁ SER DE 7.800 (SETE MIL E OITOCENTAS) CAIXAS, CONTENDO 50 (CINQUENTA) UNIDADES CADA, TOTALIZANDO 390.000 UNIDADES.</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032/19.</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075/19.</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materiais/produtos deverão ser entregues em até 10 (dez) dias, podendo ser prorrogado a critério da Administração.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E813A9" w:rsidRDefault="00E813A9" w:rsidP="00E813A9">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L) CASO O PRAZO CONTRATUAL ULTRAPASSE 12 (DOZE) MESES DA DATA DA APRESENTAÇÃO DAS PROPOSTAS O VALOR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CONTRATADO SERÁ REAJUSTADO COM BASE NO INPC/IBGE.</w:t>
      </w:r>
    </w:p>
    <w:p w:rsidR="00E813A9" w:rsidRDefault="00E813A9" w:rsidP="00E813A9">
      <w:pPr>
        <w:pStyle w:val="ParagraphStyle"/>
        <w:jc w:val="both"/>
        <w:rPr>
          <w:rFonts w:ascii="Times New Roman" w:hAnsi="Times New Roman" w:cs="Times New Roman"/>
          <w:sz w:val="20"/>
          <w:szCs w:val="20"/>
          <w:u w:val="single"/>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6.1.1. </w:t>
      </w:r>
      <w:r>
        <w:rPr>
          <w:rFonts w:ascii="Times New Roman" w:hAnsi="Times New Roman" w:cs="Times New Roman"/>
          <w:b/>
          <w:bCs/>
          <w:sz w:val="20"/>
          <w:szCs w:val="20"/>
        </w:rPr>
        <w:t>Certificado de Regularidade Fiscal: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6B172D" w:rsidRDefault="006B172D"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90569E" w:rsidRPr="00711C3E" w:rsidRDefault="00A93D99" w:rsidP="0090569E">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A</w:t>
      </w:r>
      <w:r w:rsidR="0090569E" w:rsidRPr="00711C3E">
        <w:rPr>
          <w:rFonts w:ascii="Times New Roman" w:eastAsia="Times New Roman" w:hAnsi="Times New Roman"/>
          <w:b/>
          <w:color w:val="000000"/>
          <w:sz w:val="20"/>
          <w:szCs w:val="20"/>
          <w:lang w:eastAsia="pt-BR"/>
        </w:rPr>
        <w:t>) ALVARÁ DE LICENÇA SANITÁRIA ESTADUAL E/OU MUNICIPAL;</w:t>
      </w:r>
    </w:p>
    <w:p w:rsidR="0090569E" w:rsidRPr="00711C3E" w:rsidRDefault="00A93D99" w:rsidP="0090569E">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B</w:t>
      </w:r>
      <w:r w:rsidR="0090569E" w:rsidRPr="00711C3E">
        <w:rPr>
          <w:rFonts w:ascii="Times New Roman" w:eastAsia="Times New Roman" w:hAnsi="Times New Roman"/>
          <w:b/>
          <w:color w:val="000000"/>
          <w:sz w:val="20"/>
          <w:szCs w:val="20"/>
          <w:lang w:eastAsia="pt-BR"/>
        </w:rPr>
        <w:t>) COMPROVAÇÃO DA AUTORIZAÇÃO DE FUNCIONAMENTO;</w:t>
      </w:r>
    </w:p>
    <w:p w:rsidR="0090569E" w:rsidRPr="00711C3E" w:rsidRDefault="00A93D99" w:rsidP="0090569E">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C</w:t>
      </w:r>
      <w:r w:rsidR="0090569E" w:rsidRPr="00711C3E">
        <w:rPr>
          <w:rFonts w:ascii="Times New Roman" w:eastAsia="Times New Roman" w:hAnsi="Times New Roman"/>
          <w:b/>
          <w:color w:val="000000"/>
          <w:sz w:val="20"/>
          <w:szCs w:val="20"/>
          <w:lang w:eastAsia="pt-BR"/>
        </w:rPr>
        <w:t xml:space="preserve">) NO CASO DE DISTRIBUIDORAS, DECLARAÇÃO DE SEU CREDENCIAMENTO COM DISTRIBUIDORA JUNTO A EMPRESA DETENTORA DO REGISTRO DOS PRODUTOS, BEM COMO TERMO DE RESPONSABILIDADE EMITIDO PELA DISTRIBUIDORA, GARANTINDO A VALIDADE DO CREDENCIAMENTO DURANTE TODO O PRAZO DE VIGÊNCIA DO CONTRATO E GARANTINDO A ENTREGA NOS PRAZOS E QUANTIDADE </w:t>
      </w:r>
      <w:proofErr w:type="gramStart"/>
      <w:r w:rsidR="0090569E" w:rsidRPr="00711C3E">
        <w:rPr>
          <w:rFonts w:ascii="Times New Roman" w:eastAsia="Times New Roman" w:hAnsi="Times New Roman"/>
          <w:b/>
          <w:color w:val="000000"/>
          <w:sz w:val="20"/>
          <w:szCs w:val="20"/>
          <w:lang w:eastAsia="pt-BR"/>
        </w:rPr>
        <w:t>ESTABELECIDAS</w:t>
      </w:r>
      <w:proofErr w:type="gramEnd"/>
      <w:r w:rsidR="0090569E" w:rsidRPr="00711C3E">
        <w:rPr>
          <w:rFonts w:ascii="Times New Roman" w:eastAsia="Times New Roman" w:hAnsi="Times New Roman"/>
          <w:b/>
          <w:color w:val="000000"/>
          <w:sz w:val="20"/>
          <w:szCs w:val="20"/>
          <w:lang w:eastAsia="pt-BR"/>
        </w:rPr>
        <w:t>.</w:t>
      </w:r>
    </w:p>
    <w:p w:rsidR="0090569E" w:rsidRDefault="00A93D99" w:rsidP="0090569E">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D</w:t>
      </w:r>
      <w:r w:rsidR="0090569E" w:rsidRPr="00711C3E">
        <w:rPr>
          <w:rFonts w:ascii="Times New Roman" w:eastAsia="Times New Roman" w:hAnsi="Times New Roman"/>
          <w:b/>
          <w:color w:val="000000"/>
          <w:sz w:val="20"/>
          <w:szCs w:val="20"/>
          <w:lang w:eastAsia="pt-BR"/>
        </w:rPr>
        <w:t>) CERTIFICADO AUTENTICADO DE BOAS PRÁTICAS DE FABRICAÇÃO DO PRODUTO, CONFORME A RDC 25/2009 EMITIDOS PELA ANVISA, NÃO SERÃO ACEITOS RELATÓRIOS DE INSPEÇÃO OU PROTOCOLOS DE RENOVAÇÃO, CASA O REFERIDO CERTIFICADO ESTEJA VENCIDO;</w:t>
      </w:r>
    </w:p>
    <w:p w:rsidR="0090569E" w:rsidRPr="00711C3E" w:rsidRDefault="00A93D99" w:rsidP="0090569E">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E</w:t>
      </w:r>
      <w:r w:rsidR="0090569E" w:rsidRPr="00711C3E">
        <w:rPr>
          <w:rFonts w:ascii="Times New Roman" w:eastAsia="Times New Roman" w:hAnsi="Times New Roman"/>
          <w:b/>
          <w:color w:val="000000"/>
          <w:sz w:val="20"/>
          <w:szCs w:val="20"/>
          <w:lang w:eastAsia="pt-BR"/>
        </w:rPr>
        <w:t>) CÓPIA DA DECLARAÇÃO DE NOTIFICAÇÃO OU DO CERTIFICADO DE DISPENSA DO REGISTRO DO PRODUTO EMITIDO PELA AGÊNCIA NACIONAL DE VIGILÂNCIA SANITÁRIA;</w:t>
      </w:r>
    </w:p>
    <w:p w:rsidR="0090569E" w:rsidRPr="00711C3E" w:rsidRDefault="00A93D99" w:rsidP="0090569E">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F</w:t>
      </w:r>
      <w:r w:rsidR="0090569E" w:rsidRPr="00711C3E">
        <w:rPr>
          <w:rFonts w:ascii="Times New Roman" w:eastAsia="Times New Roman" w:hAnsi="Times New Roman"/>
          <w:b/>
          <w:color w:val="000000"/>
          <w:sz w:val="20"/>
          <w:szCs w:val="20"/>
          <w:lang w:eastAsia="pt-BR"/>
        </w:rPr>
        <w:t>) FICARÁ A CARGO DO PROPONENTE, PROVAR QUE O PRODUTO, OBJETO DA LICITAÇÃO, NÃO ESTÁ SUJEITO AO REGIME DA VIGILÂNCIA SANITÁRIA.</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c) Os documentos deverão ser apresentados, preferencialmente, encadernados, numerados, precedidos de índice que os identifiquem claramente e na ordem disposta no presente Edital.</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 não forem de boa qualidade ou não forem condizentes com as características dos itens do objeto desta licitação;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E813A9" w:rsidRDefault="00E813A9" w:rsidP="00E813A9">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E813A9">
        <w:trPr>
          <w:jc w:val="center"/>
        </w:trPr>
        <w:tc>
          <w:tcPr>
            <w:tcW w:w="3915" w:type="dxa"/>
            <w:tcBorders>
              <w:top w:val="single" w:sz="6" w:space="0" w:color="000000"/>
              <w:left w:val="single" w:sz="6" w:space="0" w:color="000000"/>
              <w:bottom w:val="single" w:sz="6" w:space="0" w:color="000000"/>
              <w:right w:val="single" w:sz="6" w:space="0" w:color="000000"/>
            </w:tcBorders>
          </w:tcPr>
          <w:p w:rsidR="00E813A9" w:rsidRDefault="00E813A9">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E813A9" w:rsidRDefault="00E813A9">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E813A9">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E813A9" w:rsidRDefault="00E813A9">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1</w:t>
            </w:r>
            <w:proofErr w:type="gramEnd"/>
            <w:r w:rsidR="0090569E">
              <w:rPr>
                <w:rFonts w:ascii="Times New Roman" w:hAnsi="Times New Roman" w:cs="Times New Roman"/>
                <w:b/>
                <w:bCs/>
                <w:sz w:val="20"/>
                <w:szCs w:val="20"/>
              </w:rPr>
              <w:t xml:space="preserve"> E 2</w:t>
            </w:r>
          </w:p>
        </w:tc>
        <w:tc>
          <w:tcPr>
            <w:tcW w:w="4020" w:type="dxa"/>
            <w:tcBorders>
              <w:top w:val="single" w:sz="6" w:space="0" w:color="000000"/>
              <w:left w:val="single" w:sz="6" w:space="0" w:color="000000"/>
              <w:bottom w:val="single" w:sz="6" w:space="0" w:color="000000"/>
              <w:right w:val="single" w:sz="6" w:space="0" w:color="000000"/>
            </w:tcBorders>
          </w:tcPr>
          <w:p w:rsidR="00E813A9" w:rsidRDefault="0090569E">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bl>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a) substituição e complementação de documentos; ou,</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E813A9" w:rsidRDefault="00E813A9" w:rsidP="00E813A9">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9.2.1. Inexecução contratual pelo primeiro classificado por qualquer motivo e consequente cancelamento da Ata, inclusive em caso fortuito ou de força maior.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E813A9" w:rsidRDefault="00E813A9" w:rsidP="00E813A9">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E813A9" w:rsidRDefault="00E813A9" w:rsidP="00E813A9">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9.5.3. Á EMPRESA VENCEDORA FICARÁ ADVERTIDA DA OBRIGAÇÃO DE:</w:t>
      </w:r>
    </w:p>
    <w:p w:rsidR="00E813A9" w:rsidRDefault="00E813A9" w:rsidP="00E813A9">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9.5.4. IMPRIMIR 03 (TRÊS) VIAS DO CONTRATO;</w:t>
      </w:r>
    </w:p>
    <w:p w:rsidR="00E813A9" w:rsidRDefault="00E813A9" w:rsidP="00E813A9">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9.5.6. IMPRIMIR 01 (UMA) VIA DO TERMO DE NOTIFICAÇÃO E CIÊNCIA;</w:t>
      </w:r>
    </w:p>
    <w:p w:rsidR="00E813A9" w:rsidRDefault="00E813A9" w:rsidP="00E813A9">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9.5.7. ASSINAR TODAS AS PÁGINAS; SENDO EXPRESSAMENTE PROIBIDO IMPRIMIR FRENTE/VERSO;</w:t>
      </w:r>
    </w:p>
    <w:p w:rsidR="00E813A9" w:rsidRDefault="00E813A9" w:rsidP="00E813A9">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9.5.8. ENVIAR AS DOCUMENTAÇÕES EM NO MÁXIMO 03 (TRÊS) DIAS UTEIS PELO CORREIO POR SEDEX COM AR O, NÃO CUMPRIMENTO DO PRAZO </w:t>
      </w:r>
      <w:proofErr w:type="gramStart"/>
      <w:r>
        <w:rPr>
          <w:rFonts w:ascii="Times New Roman" w:hAnsi="Times New Roman" w:cs="Times New Roman"/>
          <w:b/>
          <w:bCs/>
          <w:sz w:val="22"/>
          <w:szCs w:val="22"/>
          <w:u w:val="single"/>
        </w:rPr>
        <w:t>SUPRA ENSEJARÁ</w:t>
      </w:r>
      <w:proofErr w:type="gramEnd"/>
      <w:r>
        <w:rPr>
          <w:rFonts w:ascii="Times New Roman" w:hAnsi="Times New Roman" w:cs="Times New Roman"/>
          <w:b/>
          <w:bCs/>
          <w:sz w:val="22"/>
          <w:szCs w:val="22"/>
          <w:u w:val="single"/>
        </w:rPr>
        <w:t xml:space="preserve"> NA APLICAÇÃO DE MULTA DE 10% DO VALOR DO CONTRATO.</w:t>
      </w:r>
    </w:p>
    <w:p w:rsidR="00E813A9" w:rsidRDefault="00E813A9" w:rsidP="00E813A9">
      <w:pPr>
        <w:pStyle w:val="ParagraphStyle"/>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E813A9" w:rsidRDefault="00E813A9" w:rsidP="00E813A9">
      <w:pPr>
        <w:pStyle w:val="ParagraphStyle"/>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ENTREGA DOS MATERIAIS/PRODUTOS.</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materiais/produtos serão entregues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850C13" w:rsidRDefault="00850C13"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E813A9" w:rsidRDefault="00E813A9" w:rsidP="00E813A9">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C03211" w:rsidRDefault="00C03211" w:rsidP="00E813A9">
      <w:pPr>
        <w:pStyle w:val="ParagraphStyle"/>
        <w:jc w:val="both"/>
        <w:rPr>
          <w:rFonts w:ascii="Times New Roman" w:hAnsi="Times New Roman" w:cs="Times New Roman"/>
          <w:sz w:val="20"/>
          <w:szCs w:val="20"/>
        </w:rPr>
      </w:pPr>
    </w:p>
    <w:p w:rsidR="00C03211" w:rsidRDefault="00C03211"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E813A9" w:rsidRDefault="00E813A9" w:rsidP="00E813A9">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E813A9" w:rsidRDefault="00E813A9" w:rsidP="00E813A9">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R$ 405.600,00 (quatrocentos e cinco mil e seiscentos reais)</w:t>
      </w:r>
      <w:r>
        <w:rPr>
          <w:rFonts w:ascii="Times New Roman" w:hAnsi="Times New Roman" w:cs="Times New Roman"/>
          <w:caps/>
          <w:sz w:val="22"/>
          <w:szCs w:val="22"/>
        </w:rPr>
        <w:t>.</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18"/>
          <w:szCs w:val="18"/>
          <w:lang w:eastAsia="pt-BR"/>
        </w:rPr>
      </w:pPr>
      <w:proofErr w:type="gramStart"/>
      <w:r w:rsidRPr="00711C3E">
        <w:rPr>
          <w:rFonts w:ascii="Times New Roman" w:hAnsi="Times New Roman"/>
          <w:b/>
          <w:sz w:val="18"/>
          <w:szCs w:val="18"/>
          <w:lang w:eastAsia="pt-BR"/>
        </w:rPr>
        <w:t>02.06- SECRETARIA</w:t>
      </w:r>
      <w:proofErr w:type="gramEnd"/>
      <w:r w:rsidRPr="00711C3E">
        <w:rPr>
          <w:rFonts w:ascii="Times New Roman" w:hAnsi="Times New Roman"/>
          <w:b/>
          <w:sz w:val="18"/>
          <w:szCs w:val="18"/>
          <w:lang w:eastAsia="pt-BR"/>
        </w:rPr>
        <w:t xml:space="preserve"> MUNICIPAL DA SAUDE</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10.301.0021.2.038</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10.301.0021.2.127</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10.302.0021.2.128</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E813A9" w:rsidRDefault="00E813A9" w:rsidP="00E813A9">
      <w:pPr>
        <w:pStyle w:val="ParagraphStyle"/>
        <w:jc w:val="both"/>
        <w:rPr>
          <w:rFonts w:ascii="Times New Roman" w:hAnsi="Times New Roman" w:cs="Times New Roman"/>
          <w:sz w:val="20"/>
          <w:szCs w:val="20"/>
        </w:rPr>
      </w:pPr>
    </w:p>
    <w:p w:rsidR="0090569E" w:rsidRDefault="0090569E"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15 - OBRIGAÇÕES/RESPONSABILIDADES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6B172D" w:rsidRDefault="006B172D"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C03211"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15.3. O resultado deste certame será divulgado nas Imprensas Oficiais respectivas e no endereço eletrônico </w:t>
      </w:r>
      <w:hyperlink r:id="rId8" w:history="1">
        <w:r w:rsidR="00C03211" w:rsidRPr="003F3A24">
          <w:rPr>
            <w:rStyle w:val="Hyperlink"/>
            <w:rFonts w:ascii="Times New Roman" w:hAnsi="Times New Roman" w:cs="Times New Roman"/>
            <w:sz w:val="20"/>
            <w:szCs w:val="20"/>
          </w:rPr>
          <w:t>www.fernandopolis.sp.gov.br</w:t>
        </w:r>
      </w:hyperlink>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E813A9" w:rsidRDefault="00E813A9" w:rsidP="00E813A9">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E813A9" w:rsidRDefault="00E813A9" w:rsidP="00E813A9">
      <w:pPr>
        <w:pStyle w:val="ParagraphStyle"/>
        <w:spacing w:after="200" w:line="276" w:lineRule="auto"/>
        <w:rPr>
          <w:rFonts w:ascii="Calibri" w:hAnsi="Calibri" w:cs="Calibri"/>
          <w:sz w:val="22"/>
          <w:szCs w:val="22"/>
        </w:rPr>
      </w:pPr>
    </w:p>
    <w:p w:rsidR="00E813A9" w:rsidRDefault="00E813A9" w:rsidP="00E813A9">
      <w:pPr>
        <w:pStyle w:val="ParagraphStyle"/>
        <w:jc w:val="both"/>
        <w:rPr>
          <w:rFonts w:ascii="Times New Roman" w:hAnsi="Times New Roman" w:cs="Times New Roman"/>
          <w:sz w:val="20"/>
          <w:szCs w:val="20"/>
        </w:rPr>
      </w:pPr>
    </w:p>
    <w:p w:rsidR="00E813A9" w:rsidRDefault="00C03211" w:rsidP="00E813A9">
      <w:pPr>
        <w:pStyle w:val="Centered"/>
        <w:rPr>
          <w:rFonts w:ascii="Times New Roman" w:hAnsi="Times New Roman" w:cs="Times New Roman"/>
          <w:sz w:val="20"/>
          <w:szCs w:val="20"/>
        </w:rPr>
      </w:pPr>
      <w:r>
        <w:rPr>
          <w:rFonts w:ascii="Times New Roman" w:hAnsi="Times New Roman" w:cs="Times New Roman"/>
          <w:sz w:val="20"/>
          <w:szCs w:val="20"/>
        </w:rPr>
        <w:t>Fernandópolis/SP,</w:t>
      </w:r>
      <w:r w:rsidR="00E813A9">
        <w:rPr>
          <w:rFonts w:ascii="Times New Roman" w:hAnsi="Times New Roman" w:cs="Times New Roman"/>
          <w:sz w:val="20"/>
          <w:szCs w:val="20"/>
        </w:rPr>
        <w:t xml:space="preserve"> </w:t>
      </w:r>
      <w:r w:rsidR="00FD4AC9">
        <w:rPr>
          <w:rFonts w:ascii="Times New Roman" w:hAnsi="Times New Roman" w:cs="Times New Roman"/>
          <w:sz w:val="20"/>
          <w:szCs w:val="20"/>
        </w:rPr>
        <w:t>04</w:t>
      </w:r>
      <w:r w:rsidR="00E813A9">
        <w:rPr>
          <w:rFonts w:ascii="Times New Roman" w:hAnsi="Times New Roman" w:cs="Times New Roman"/>
          <w:sz w:val="20"/>
          <w:szCs w:val="20"/>
        </w:rPr>
        <w:t xml:space="preserve"> de </w:t>
      </w:r>
      <w:r w:rsidR="00850C13">
        <w:rPr>
          <w:rFonts w:ascii="Times New Roman" w:hAnsi="Times New Roman" w:cs="Times New Roman"/>
          <w:sz w:val="20"/>
          <w:szCs w:val="20"/>
        </w:rPr>
        <w:t>abril</w:t>
      </w:r>
      <w:r w:rsidR="00E813A9">
        <w:rPr>
          <w:rFonts w:ascii="Times New Roman" w:hAnsi="Times New Roman" w:cs="Times New Roman"/>
          <w:sz w:val="20"/>
          <w:szCs w:val="20"/>
        </w:rPr>
        <w:t xml:space="preserve"> de 2.019.</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E813A9" w:rsidRDefault="00E813A9" w:rsidP="00E813A9">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032/19.</w:t>
      </w: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075/19.</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ind w:firstLine="2520"/>
        <w:jc w:val="both"/>
        <w:rPr>
          <w:rFonts w:ascii="Times New Roman" w:hAnsi="Times New Roman" w:cs="Times New Roman"/>
          <w:sz w:val="20"/>
          <w:szCs w:val="20"/>
        </w:rPr>
      </w:pPr>
    </w:p>
    <w:p w:rsidR="00E813A9" w:rsidRDefault="00E813A9" w:rsidP="00E813A9">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032/19, bem como de seus Anexos e que, assim sendo, atendemos plenamente a todos os requisitos necessários à participação e habilitação no mesmo.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(assinatura)</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C03211" w:rsidRDefault="00C03211"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E813A9" w:rsidRDefault="00E813A9" w:rsidP="00E813A9">
      <w:pPr>
        <w:pStyle w:val="Centered"/>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032/19 Processo 075/19,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(assinatura)</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032/19 - Processo nº 075/19,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813A9" w:rsidRDefault="00E813A9" w:rsidP="00E813A9">
      <w:pPr>
        <w:pStyle w:val="ParagraphStyle"/>
        <w:ind w:firstLine="2340"/>
        <w:jc w:val="both"/>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(assinatura)</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p>
    <w:p w:rsidR="00E813A9" w:rsidRDefault="00E813A9" w:rsidP="00E813A9">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032/19 - Processo nº 075/19,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(assinatura)</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075/19, PREGÃO Nº 032/19,</w:t>
      </w:r>
      <w:r>
        <w:rPr>
          <w:rFonts w:ascii="Times New Roman" w:hAnsi="Times New Roman" w:cs="Times New Roman"/>
          <w:sz w:val="20"/>
          <w:szCs w:val="20"/>
        </w:rPr>
        <w:t xml:space="preserve"> </w:t>
      </w:r>
      <w:r>
        <w:rPr>
          <w:rFonts w:ascii="Times New Roman" w:hAnsi="Times New Roman" w:cs="Times New Roman"/>
          <w:b/>
          <w:bCs/>
          <w:sz w:val="20"/>
          <w:szCs w:val="20"/>
        </w:rPr>
        <w:t>ELABORAÇÃO DE ATA DE REGISTRO DE PREÇOS PARA AQUISIÇÃO DE TIRAS REAGENTES QUE SERÃO DISPENSADAS AOS PACIENTES INSULINOS DEPENDENTES CADASTRADOS NA FARMÁCIA MUNICIPAL, COM PREVISÃO DE CONSUMO PARCELADAMENTE NO DECORRER DE 12 (DOZE) MESES,</w:t>
      </w:r>
      <w:r>
        <w:rPr>
          <w:rFonts w:ascii="Times New Roman" w:hAnsi="Times New Roman" w:cs="Times New Roman"/>
          <w:sz w:val="20"/>
          <w:szCs w:val="20"/>
        </w:rPr>
        <w:t xml:space="preserve"> dos itens abaixo discriminados, com seus respectivos preços:</w:t>
      </w:r>
    </w:p>
    <w:p w:rsidR="00E813A9" w:rsidRDefault="00E813A9" w:rsidP="00E813A9">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E813A9">
        <w:trPr>
          <w:jc w:val="center"/>
        </w:trPr>
        <w:tc>
          <w:tcPr>
            <w:tcW w:w="825"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E813A9">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E813A9">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E813A9" w:rsidRDefault="00E813A9" w:rsidP="00E813A9">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E813A9" w:rsidRDefault="00E813A9" w:rsidP="00E813A9">
      <w:pPr>
        <w:pStyle w:val="ParagraphStyle"/>
        <w:jc w:val="both"/>
        <w:rPr>
          <w:rFonts w:ascii="Times New Roman" w:hAnsi="Times New Roman" w:cs="Times New Roman"/>
          <w:b/>
          <w:bCs/>
          <w:sz w:val="20"/>
          <w:szCs w:val="20"/>
        </w:rPr>
      </w:pP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18"/>
          <w:szCs w:val="18"/>
          <w:lang w:eastAsia="pt-BR"/>
        </w:rPr>
      </w:pPr>
      <w:proofErr w:type="gramStart"/>
      <w:r w:rsidRPr="00711C3E">
        <w:rPr>
          <w:rFonts w:ascii="Times New Roman" w:hAnsi="Times New Roman"/>
          <w:b/>
          <w:sz w:val="18"/>
          <w:szCs w:val="18"/>
          <w:lang w:eastAsia="pt-BR"/>
        </w:rPr>
        <w:t>02.06- SECRETARIA</w:t>
      </w:r>
      <w:proofErr w:type="gramEnd"/>
      <w:r w:rsidRPr="00711C3E">
        <w:rPr>
          <w:rFonts w:ascii="Times New Roman" w:hAnsi="Times New Roman"/>
          <w:b/>
          <w:sz w:val="18"/>
          <w:szCs w:val="18"/>
          <w:lang w:eastAsia="pt-BR"/>
        </w:rPr>
        <w:t xml:space="preserve"> MUNICIPAL DA SAUDE</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10.301.0021.2.038</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10.301.0021.2.127</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10.302.0021.2.128</w:t>
      </w:r>
    </w:p>
    <w:p w:rsidR="0090569E" w:rsidRPr="00711C3E" w:rsidRDefault="0090569E" w:rsidP="0090569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90569E" w:rsidRDefault="0090569E"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075/19, Pregão nº 032/19.</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CNPJ Nº 47.842.836/0001-05</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E813A9" w:rsidRDefault="00E813A9" w:rsidP="00E813A9">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p>
    <w:p w:rsidR="00E813A9" w:rsidRDefault="00E813A9" w:rsidP="00E813A9">
      <w:pPr>
        <w:pStyle w:val="ParagraphStyle"/>
        <w:jc w:val="center"/>
        <w:rPr>
          <w:rFonts w:ascii="Times New Roman" w:hAnsi="Times New Roman" w:cs="Times New Roman"/>
          <w:b/>
          <w:bCs/>
          <w:sz w:val="20"/>
          <w:szCs w:val="20"/>
        </w:rPr>
      </w:pPr>
    </w:p>
    <w:p w:rsidR="00E813A9" w:rsidRDefault="00E813A9" w:rsidP="00E813A9">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CECÍLIA H. AZADINHO </w:t>
      </w:r>
      <w:proofErr w:type="gramStart"/>
      <w:r>
        <w:rPr>
          <w:rFonts w:ascii="Times New Roman" w:hAnsi="Times New Roman" w:cs="Times New Roman"/>
          <w:sz w:val="20"/>
          <w:szCs w:val="20"/>
        </w:rPr>
        <w:t>MIRANDA</w:t>
      </w:r>
      <w:proofErr w:type="gramEnd"/>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E813A9" w:rsidRDefault="00E813A9" w:rsidP="00E813A9">
      <w:pPr>
        <w:pStyle w:val="ParagraphStyle"/>
        <w:jc w:val="center"/>
        <w:rPr>
          <w:rFonts w:ascii="Times New Roman" w:hAnsi="Times New Roman" w:cs="Times New Roman"/>
          <w:sz w:val="22"/>
          <w:szCs w:val="22"/>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E813A9" w:rsidRDefault="00E813A9" w:rsidP="00E813A9">
      <w:pPr>
        <w:pStyle w:val="Centered"/>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PREGÃO Nº 032/19;</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075/19.</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E813A9" w:rsidRDefault="00E813A9" w:rsidP="00E813A9">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E813A9">
        <w:trPr>
          <w:jc w:val="center"/>
        </w:trPr>
        <w:tc>
          <w:tcPr>
            <w:tcW w:w="4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E813A9">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E813A9">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E813A9" w:rsidRDefault="00E813A9" w:rsidP="00E813A9">
      <w:pPr>
        <w:pStyle w:val="ParagraphStyle"/>
        <w:rPr>
          <w:rFonts w:ascii="Times New Roman" w:hAnsi="Times New Roman" w:cs="Times New Roman"/>
          <w:sz w:val="22"/>
          <w:szCs w:val="22"/>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(assinatura)</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E813A9" w:rsidRDefault="00E813A9" w:rsidP="00E813A9">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Cargo</w:t>
      </w:r>
    </w:p>
    <w:p w:rsidR="00E813A9" w:rsidRDefault="00E813A9" w:rsidP="00E813A9">
      <w:pPr>
        <w:pStyle w:val="Centered"/>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E813A9" w:rsidRDefault="00E813A9" w:rsidP="00E813A9">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E813A9" w:rsidRDefault="00E813A9" w:rsidP="00E813A9">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032/19.</w:t>
      </w:r>
      <w:r>
        <w:rPr>
          <w:rFonts w:ascii="Times New Roman" w:hAnsi="Times New Roman" w:cs="Times New Roman"/>
          <w:sz w:val="20"/>
          <w:szCs w:val="20"/>
        </w:rPr>
        <w:tab/>
      </w:r>
      <w:r>
        <w:rPr>
          <w:rFonts w:ascii="Times New Roman" w:hAnsi="Times New Roman" w:cs="Times New Roman"/>
          <w:sz w:val="20"/>
          <w:szCs w:val="20"/>
        </w:rPr>
        <w:tab/>
        <w:t>.</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E813A9" w:rsidRDefault="00E813A9" w:rsidP="00E813A9">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Centered"/>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DE ATA DE REGISTRO DE PREÇOS PARA AQUISIÇÃO DE TIRAS REAGENTES QUE SERÃO DISPENSADAS AOS PACIENTES INSULINOS DEPENDENTES CADASTRADOS NA FARMÁCIA MUNICIPAL, COM PREVISÃO DE CONSUMO PARCELADAMENTE NO DECORRER DE 12 (DOZE) MESES. </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032/19, PROCESSO Nº 075/19,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DE ATA DE REGISTRO DE PREÇOS PARA AQUISIÇÃO DE TIRAS REAGENTES QUE SERÃO DISPENSADAS AOS PACIENTES INSULINOS DEPENDENTES CADASTRADOS NA FARMÁCIA MUNICIPAL, COM PREVISÃO DE CONSUMO PARCELADAMENTE NO DECORRER DE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E813A9" w:rsidRDefault="00E813A9" w:rsidP="00E813A9">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E813A9" w:rsidRDefault="00E813A9" w:rsidP="00E813A9">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E813A9" w:rsidRDefault="00E813A9" w:rsidP="00E813A9">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E813A9">
        <w:tc>
          <w:tcPr>
            <w:tcW w:w="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E813A9">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E813A9" w:rsidRDefault="00E813A9">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PODENDO SER PRORROGADO A CRITÉRIO DA ADMINISTRAÇÃO.</w:t>
      </w:r>
    </w:p>
    <w:p w:rsidR="00E813A9" w:rsidRDefault="00E813A9" w:rsidP="00E813A9">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r>
        <w:rPr>
          <w:rFonts w:ascii="Times New Roman" w:hAnsi="Times New Roman" w:cs="Times New Roman"/>
          <w:b/>
          <w:bCs/>
          <w:sz w:val="20"/>
          <w:szCs w:val="20"/>
        </w:rPr>
        <w:t>CASO O PRAZO CONTRATUAL ULTRAPASSE 12 (DOZE) MESES DA DATA DA APRESENTAÇÃO DAS PROPOSTAS O VALOR CONTRATADO SERÁ REAJUSTADO COM BASE NO INPC/IBGE.</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E813A9" w:rsidRDefault="00E813A9" w:rsidP="00E813A9">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E813A9" w:rsidRDefault="00E813A9" w:rsidP="00E813A9">
      <w:pPr>
        <w:pStyle w:val="ParagraphStyle"/>
        <w:jc w:val="center"/>
        <w:rPr>
          <w:rFonts w:ascii="Times New Roman" w:hAnsi="Times New Roman" w:cs="Times New Roman"/>
          <w:sz w:val="20"/>
          <w:szCs w:val="20"/>
        </w:rPr>
      </w:pP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E813A9" w:rsidRDefault="00E813A9" w:rsidP="00E813A9">
      <w:pPr>
        <w:pStyle w:val="ParagraphStyle"/>
        <w:jc w:val="both"/>
        <w:rPr>
          <w:rFonts w:ascii="Times New Roman" w:hAnsi="Times New Roman" w:cs="Times New Roman"/>
          <w:sz w:val="20"/>
          <w:szCs w:val="20"/>
        </w:rPr>
      </w:pPr>
    </w:p>
    <w:p w:rsidR="00E813A9" w:rsidRDefault="00E813A9" w:rsidP="00E813A9">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E813A9" w:rsidRDefault="00E813A9" w:rsidP="00E813A9">
      <w:pPr>
        <w:pStyle w:val="Centered"/>
        <w:rPr>
          <w:rFonts w:ascii="Times New Roman" w:hAnsi="Times New Roman" w:cs="Times New Roman"/>
          <w:b/>
          <w:bCs/>
          <w:sz w:val="20"/>
          <w:szCs w:val="20"/>
        </w:rPr>
      </w:pPr>
    </w:p>
    <w:p w:rsidR="00E813A9" w:rsidRDefault="00E813A9" w:rsidP="00E813A9">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E813A9" w:rsidRDefault="00E813A9" w:rsidP="00E813A9">
      <w:pPr>
        <w:pStyle w:val="ParagraphStyle"/>
        <w:jc w:val="both"/>
        <w:rPr>
          <w:rFonts w:ascii="Times New Roman" w:hAnsi="Times New Roman" w:cs="Times New Roman"/>
          <w:b/>
          <w:bCs/>
          <w:sz w:val="20"/>
          <w:szCs w:val="20"/>
        </w:rPr>
      </w:pPr>
    </w:p>
    <w:p w:rsidR="00E813A9" w:rsidRDefault="00E813A9" w:rsidP="00E813A9">
      <w:pPr>
        <w:pStyle w:val="ParagraphStyle"/>
        <w:jc w:val="both"/>
        <w:rPr>
          <w:rFonts w:ascii="Times New Roman" w:hAnsi="Times New Roman" w:cs="Times New Roman"/>
          <w:b/>
          <w:bCs/>
          <w:sz w:val="20"/>
          <w:szCs w:val="20"/>
        </w:rPr>
      </w:pPr>
    </w:p>
    <w:tbl>
      <w:tblPr>
        <w:tblW w:w="5000" w:type="pct"/>
        <w:tblCellMar>
          <w:left w:w="1" w:type="dxa"/>
          <w:right w:w="1" w:type="dxa"/>
        </w:tblCellMar>
        <w:tblLook w:val="0000"/>
      </w:tblPr>
      <w:tblGrid>
        <w:gridCol w:w="539"/>
        <w:gridCol w:w="8110"/>
        <w:gridCol w:w="428"/>
        <w:gridCol w:w="567"/>
      </w:tblGrid>
      <w:tr w:rsidR="00E813A9" w:rsidRPr="00E813A9" w:rsidTr="00E813A9">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E813A9" w:rsidRPr="00E813A9" w:rsidRDefault="00E813A9" w:rsidP="00E813A9">
            <w:pPr>
              <w:pStyle w:val="ParagraphStyle"/>
              <w:jc w:val="center"/>
              <w:rPr>
                <w:rFonts w:ascii="Times New Roman" w:hAnsi="Times New Roman" w:cs="Times New Roman"/>
                <w:b/>
                <w:sz w:val="20"/>
                <w:szCs w:val="20"/>
              </w:rPr>
            </w:pPr>
            <w:r w:rsidRPr="00E813A9">
              <w:rPr>
                <w:rFonts w:ascii="Times New Roman" w:hAnsi="Times New Roman" w:cs="Times New Roman"/>
                <w:b/>
                <w:sz w:val="20"/>
                <w:szCs w:val="20"/>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E813A9" w:rsidRPr="00E813A9" w:rsidRDefault="00E813A9" w:rsidP="00E813A9">
            <w:pPr>
              <w:pStyle w:val="ParagraphStyle"/>
              <w:jc w:val="center"/>
              <w:rPr>
                <w:rFonts w:ascii="Times New Roman" w:hAnsi="Times New Roman" w:cs="Times New Roman"/>
                <w:b/>
                <w:sz w:val="20"/>
                <w:szCs w:val="20"/>
              </w:rPr>
            </w:pPr>
            <w:r w:rsidRPr="00E813A9">
              <w:rPr>
                <w:rFonts w:ascii="Times New Roman" w:hAnsi="Times New Roman" w:cs="Times New Roman"/>
                <w:b/>
                <w:sz w:val="20"/>
                <w:szCs w:val="20"/>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E813A9" w:rsidRPr="00E813A9" w:rsidRDefault="00E813A9" w:rsidP="00E813A9">
            <w:pPr>
              <w:pStyle w:val="ParagraphStyle"/>
              <w:jc w:val="center"/>
              <w:rPr>
                <w:rFonts w:ascii="Times New Roman" w:hAnsi="Times New Roman" w:cs="Times New Roman"/>
                <w:b/>
                <w:sz w:val="20"/>
                <w:szCs w:val="20"/>
              </w:rPr>
            </w:pPr>
            <w:r w:rsidRPr="00E813A9">
              <w:rPr>
                <w:rFonts w:ascii="Times New Roman" w:hAnsi="Times New Roman" w:cs="Times New Roman"/>
                <w:b/>
                <w:sz w:val="20"/>
                <w:szCs w:val="20"/>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E813A9" w:rsidRPr="00E813A9" w:rsidRDefault="00E813A9" w:rsidP="00E813A9">
            <w:pPr>
              <w:pStyle w:val="ParagraphStyle"/>
              <w:jc w:val="center"/>
              <w:rPr>
                <w:rFonts w:ascii="Times New Roman" w:hAnsi="Times New Roman" w:cs="Times New Roman"/>
                <w:b/>
                <w:sz w:val="20"/>
                <w:szCs w:val="20"/>
              </w:rPr>
            </w:pPr>
            <w:r w:rsidRPr="00E813A9">
              <w:rPr>
                <w:rFonts w:ascii="Times New Roman" w:hAnsi="Times New Roman" w:cs="Times New Roman"/>
                <w:b/>
                <w:sz w:val="20"/>
                <w:szCs w:val="20"/>
              </w:rPr>
              <w:t>UNID.</w:t>
            </w:r>
          </w:p>
        </w:tc>
      </w:tr>
      <w:tr w:rsidR="00E813A9" w:rsidTr="00E813A9">
        <w:tc>
          <w:tcPr>
            <w:tcW w:w="279" w:type="pct"/>
            <w:tcBorders>
              <w:top w:val="single" w:sz="2" w:space="0" w:color="000000"/>
              <w:left w:val="single" w:sz="2" w:space="0" w:color="000000"/>
              <w:bottom w:val="single" w:sz="2" w:space="0" w:color="000000"/>
              <w:right w:val="single" w:sz="2" w:space="0" w:color="000000"/>
            </w:tcBorders>
          </w:tcPr>
          <w:p w:rsidR="00E813A9" w:rsidRDefault="00E813A9" w:rsidP="00E813A9">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E813A9" w:rsidRDefault="00E813A9" w:rsidP="00E813A9">
            <w:pPr>
              <w:pStyle w:val="ParagraphStyle"/>
              <w:jc w:val="both"/>
              <w:rPr>
                <w:rFonts w:ascii="Times New Roman" w:hAnsi="Times New Roman" w:cs="Times New Roman"/>
                <w:sz w:val="20"/>
                <w:szCs w:val="20"/>
              </w:rPr>
            </w:pPr>
            <w:r>
              <w:rPr>
                <w:rFonts w:ascii="Times New Roman" w:hAnsi="Times New Roman" w:cs="Times New Roman"/>
                <w:sz w:val="20"/>
                <w:szCs w:val="20"/>
              </w:rPr>
              <w:t>TIRAS REAGENTES PARA DETERMINAÇÃO QUANTITATIVA DE GLICOSE NO SANGUE, COM ÁREA REAGENTE PARA VERIFICAÇÃO DE GLICEMIA CAPILAR ATRAVÉS DE QUÍMICA ENZIMÁTICA, MÉTODO DE LEITURA POR FOTOMETRIA OU AMPEROMETRIA, COM FAIXA DE MEDIÇÃO MÍNIMA DE 20 MG/DL A 500 MG/DL, PORÉM ACEITANDO VALORES INFERIORES A 20MG/DL E SUPERIORES A 500 MG/DL. A TIRA DEVERÁ APRESENTAR ÁREA DE ABSORÇÃO DO SANGUE POR CAPILARIDADE EM UMA DE SUAS EXTREMIDADES, PARA PERMITIR A COLETA SEM CONTATO DO SANGUE COM O APARELHO, EVITANDO O ACÚMULO DE RESÍDUOS E CONTAMINAÇÃO DO MONITOR. AS TIRAS DEVEME ESTAR ACONDICIONADAS EM EMBALAGENS COM</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50 UNIDADES, IDENTIFICADAS CONFORME LEGISLAÇÃO VIGENTE. OS APARELHOS OFERECIDOS EM COMODATO DEVERÃO SER </w:t>
            </w:r>
            <w:proofErr w:type="gramStart"/>
            <w:r>
              <w:rPr>
                <w:rFonts w:ascii="Times New Roman" w:hAnsi="Times New Roman" w:cs="Times New Roman"/>
                <w:sz w:val="20"/>
                <w:szCs w:val="20"/>
              </w:rPr>
              <w:t>COMPATÍVEIS COM AS TIRAS, MEMÓRIA</w:t>
            </w:r>
            <w:proofErr w:type="gramEnd"/>
            <w:r>
              <w:rPr>
                <w:rFonts w:ascii="Times New Roman" w:hAnsi="Times New Roman" w:cs="Times New Roman"/>
                <w:sz w:val="20"/>
                <w:szCs w:val="20"/>
              </w:rPr>
              <w:t xml:space="preserve"> DE NO MÍNIMO 400 MEDIÇÕES PARA GERENCIAMENTO DE DADOS DOS PACIENTES, CALIBRAÇÃO SIMPLES, SEM CHIP OU CÓDIGO, EVITANDO ERROS COM PERDA DE CHIP OU CÓDIGO INCORRETO. OS APARELHOS E TIRAS DEVEM ATENDER A ISO 15197 DE 2013.</w:t>
            </w:r>
          </w:p>
        </w:tc>
        <w:tc>
          <w:tcPr>
            <w:tcW w:w="222" w:type="pct"/>
            <w:tcBorders>
              <w:top w:val="single" w:sz="2" w:space="0" w:color="000000"/>
              <w:left w:val="single" w:sz="2" w:space="0" w:color="000000"/>
              <w:bottom w:val="single" w:sz="2" w:space="0" w:color="000000"/>
              <w:right w:val="single" w:sz="2" w:space="0" w:color="000000"/>
            </w:tcBorders>
          </w:tcPr>
          <w:p w:rsidR="00E813A9" w:rsidRDefault="00FD4AC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5850</w:t>
            </w:r>
          </w:p>
        </w:tc>
        <w:tc>
          <w:tcPr>
            <w:tcW w:w="294" w:type="pct"/>
            <w:tcBorders>
              <w:top w:val="single" w:sz="2" w:space="0" w:color="000000"/>
              <w:left w:val="single" w:sz="2" w:space="0" w:color="000000"/>
              <w:bottom w:val="single" w:sz="2" w:space="0" w:color="000000"/>
              <w:right w:val="single" w:sz="2" w:space="0" w:color="000000"/>
            </w:tcBorders>
          </w:tcPr>
          <w:p w:rsidR="00E813A9" w:rsidRDefault="00E813A9" w:rsidP="00E813A9">
            <w:pPr>
              <w:pStyle w:val="ParagraphStyle"/>
              <w:jc w:val="center"/>
              <w:rPr>
                <w:rFonts w:ascii="Times New Roman" w:hAnsi="Times New Roman" w:cs="Times New Roman"/>
                <w:sz w:val="20"/>
                <w:szCs w:val="20"/>
              </w:rPr>
            </w:pPr>
            <w:r>
              <w:rPr>
                <w:rFonts w:ascii="Times New Roman" w:hAnsi="Times New Roman" w:cs="Times New Roman"/>
                <w:sz w:val="20"/>
                <w:szCs w:val="20"/>
              </w:rPr>
              <w:t>CX</w:t>
            </w:r>
          </w:p>
        </w:tc>
      </w:tr>
      <w:tr w:rsidR="00FD4AC9" w:rsidTr="00FD4AC9">
        <w:tc>
          <w:tcPr>
            <w:tcW w:w="279" w:type="pct"/>
            <w:tcBorders>
              <w:top w:val="single" w:sz="2" w:space="0" w:color="000000"/>
              <w:left w:val="single" w:sz="2" w:space="0" w:color="000000"/>
              <w:bottom w:val="single" w:sz="2" w:space="0" w:color="000000"/>
              <w:right w:val="single" w:sz="2" w:space="0" w:color="000000"/>
            </w:tcBorders>
          </w:tcPr>
          <w:p w:rsidR="00FD4AC9" w:rsidRDefault="00FD4AC9" w:rsidP="00FD4AC9">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FD4AC9" w:rsidRDefault="00FD4AC9" w:rsidP="00FD4AC9">
            <w:pPr>
              <w:pStyle w:val="ParagraphStyle"/>
              <w:jc w:val="both"/>
              <w:rPr>
                <w:rFonts w:ascii="Times New Roman" w:hAnsi="Times New Roman" w:cs="Times New Roman"/>
                <w:sz w:val="20"/>
                <w:szCs w:val="20"/>
              </w:rPr>
            </w:pPr>
            <w:r>
              <w:rPr>
                <w:rFonts w:ascii="Times New Roman" w:hAnsi="Times New Roman" w:cs="Times New Roman"/>
                <w:sz w:val="20"/>
                <w:szCs w:val="20"/>
              </w:rPr>
              <w:t>TIRAS REAGENTES PARA DETERMINAÇÃO QUANTITATIVA DE GLICOSE NO SANGUE, COM ÁREA REAGENTE PARA VERIFICAÇÃO DE GLICEMIA CAPILAR ATRAVÉS DE QUÍMICA ENZIMÁTICA, MÉTODO DE LEITURA POR FOTOMETRIA OU AMPEROMETRIA, COM FAIXA DE MEDIÇÃO MÍNIMA DE 20 MG/DL A 500 MG/DL, PORÉM ACEITANDO VALORES INFERIORES A 20MG/DL E SUPERIORES A 500 MG/DL. A TIRA DEVERÁ APRESENTAR ÁREA DE ABSORÇÃO DO SANGUE POR CAPILARIDADE EM UMA DE SUAS EXTREMIDADES, PARA PERMITIR A COLETA SEM CONTATO DO SANGUE COM O APARELHO, EVITANDO O ACÚMULO DE RESÍDUOS E CONTAMINAÇÃO DO MONITOR. AS TIRAS DEVEME ESTAR ACONDICIONADAS EM EMBALAGENS COM</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50 UNIDADES, IDENTIFICADAS CONFORME LEGISLAÇÃO VIGENTE. OS APARELHOS OFERECIDOS EM COMODATO DEVERÃO SER </w:t>
            </w:r>
            <w:proofErr w:type="gramStart"/>
            <w:r>
              <w:rPr>
                <w:rFonts w:ascii="Times New Roman" w:hAnsi="Times New Roman" w:cs="Times New Roman"/>
                <w:sz w:val="20"/>
                <w:szCs w:val="20"/>
              </w:rPr>
              <w:t>COMPATÍVEIS COM AS TIRAS, MEMÓRIA</w:t>
            </w:r>
            <w:proofErr w:type="gramEnd"/>
            <w:r>
              <w:rPr>
                <w:rFonts w:ascii="Times New Roman" w:hAnsi="Times New Roman" w:cs="Times New Roman"/>
                <w:sz w:val="20"/>
                <w:szCs w:val="20"/>
              </w:rPr>
              <w:t xml:space="preserve"> DE NO MÍNIMO 400 MEDIÇÕES PARA GERENCIAMENTO DE DADOS DOS PACIENTES, CALIBRAÇÃO SIMPLES, SEM CHIP OU CÓDIGO, EVITANDO ERROS COM PERDA DE CHIP OU CÓDIGO INCORRETO. OS APARELHOS E TIRAS DEVEM ATENDER A ISO 15197 DE 2013.</w:t>
            </w:r>
          </w:p>
        </w:tc>
        <w:tc>
          <w:tcPr>
            <w:tcW w:w="222" w:type="pct"/>
            <w:tcBorders>
              <w:top w:val="single" w:sz="2" w:space="0" w:color="000000"/>
              <w:left w:val="single" w:sz="2" w:space="0" w:color="000000"/>
              <w:bottom w:val="single" w:sz="2" w:space="0" w:color="000000"/>
              <w:right w:val="single" w:sz="2" w:space="0" w:color="000000"/>
            </w:tcBorders>
          </w:tcPr>
          <w:p w:rsidR="00FD4AC9" w:rsidRDefault="00FD4AC9" w:rsidP="00FD4AC9">
            <w:pPr>
              <w:pStyle w:val="ParagraphStyle"/>
              <w:jc w:val="center"/>
              <w:rPr>
                <w:rFonts w:ascii="Times New Roman" w:hAnsi="Times New Roman" w:cs="Times New Roman"/>
                <w:sz w:val="20"/>
                <w:szCs w:val="20"/>
              </w:rPr>
            </w:pPr>
            <w:r>
              <w:rPr>
                <w:rFonts w:ascii="Times New Roman" w:hAnsi="Times New Roman" w:cs="Times New Roman"/>
                <w:sz w:val="20"/>
                <w:szCs w:val="20"/>
              </w:rPr>
              <w:t>1950</w:t>
            </w:r>
          </w:p>
        </w:tc>
        <w:tc>
          <w:tcPr>
            <w:tcW w:w="294" w:type="pct"/>
            <w:tcBorders>
              <w:top w:val="single" w:sz="2" w:space="0" w:color="000000"/>
              <w:left w:val="single" w:sz="2" w:space="0" w:color="000000"/>
              <w:bottom w:val="single" w:sz="2" w:space="0" w:color="000000"/>
              <w:right w:val="single" w:sz="2" w:space="0" w:color="000000"/>
            </w:tcBorders>
          </w:tcPr>
          <w:p w:rsidR="00FD4AC9" w:rsidRDefault="00FD4AC9" w:rsidP="00FD4AC9">
            <w:pPr>
              <w:pStyle w:val="ParagraphStyle"/>
              <w:jc w:val="center"/>
              <w:rPr>
                <w:rFonts w:ascii="Times New Roman" w:hAnsi="Times New Roman" w:cs="Times New Roman"/>
                <w:sz w:val="20"/>
                <w:szCs w:val="20"/>
              </w:rPr>
            </w:pPr>
            <w:r>
              <w:rPr>
                <w:rFonts w:ascii="Times New Roman" w:hAnsi="Times New Roman" w:cs="Times New Roman"/>
                <w:sz w:val="20"/>
                <w:szCs w:val="20"/>
              </w:rPr>
              <w:t>CX</w:t>
            </w:r>
          </w:p>
        </w:tc>
      </w:tr>
    </w:tbl>
    <w:p w:rsidR="00E813A9" w:rsidRDefault="00E813A9" w:rsidP="00E813A9">
      <w:pPr>
        <w:pStyle w:val="ParagraphStyle"/>
        <w:spacing w:after="195" w:line="276" w:lineRule="auto"/>
        <w:rPr>
          <w:rFonts w:ascii="Times New Roman" w:hAnsi="Times New Roman" w:cs="Times New Roman"/>
          <w:sz w:val="20"/>
          <w:szCs w:val="20"/>
        </w:rPr>
      </w:pPr>
    </w:p>
    <w:p w:rsidR="00E813A9" w:rsidRDefault="00E813A9" w:rsidP="00E813A9">
      <w:pPr>
        <w:pStyle w:val="ParagraphStyle"/>
        <w:rPr>
          <w:rFonts w:ascii="Times New Roman" w:hAnsi="Times New Roman" w:cs="Times New Roman"/>
          <w:sz w:val="20"/>
          <w:szCs w:val="20"/>
        </w:rPr>
      </w:pPr>
    </w:p>
    <w:p w:rsidR="00700003" w:rsidRPr="00E813A9" w:rsidRDefault="00700003" w:rsidP="00E813A9">
      <w:pPr>
        <w:rPr>
          <w:szCs w:val="20"/>
        </w:rPr>
      </w:pPr>
    </w:p>
    <w:sectPr w:rsidR="00700003" w:rsidRPr="00E813A9" w:rsidSect="00FF2D18">
      <w:headerReference w:type="default" r:id="rId9"/>
      <w:footerReference w:type="default" r:id="rId10"/>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2D8" w:rsidRDefault="00C002D8" w:rsidP="00D16257">
      <w:pPr>
        <w:spacing w:after="0" w:line="240" w:lineRule="auto"/>
      </w:pPr>
      <w:r>
        <w:separator/>
      </w:r>
    </w:p>
  </w:endnote>
  <w:endnote w:type="continuationSeparator" w:id="0">
    <w:p w:rsidR="00C002D8" w:rsidRDefault="00C002D8"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AC9" w:rsidRPr="004F075B" w:rsidRDefault="00FD4AC9"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FD4AC9" w:rsidRPr="004F075B" w:rsidRDefault="00FD4AC9"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2D8" w:rsidRDefault="00C002D8" w:rsidP="00D16257">
      <w:pPr>
        <w:spacing w:after="0" w:line="240" w:lineRule="auto"/>
      </w:pPr>
      <w:r>
        <w:separator/>
      </w:r>
    </w:p>
  </w:footnote>
  <w:footnote w:type="continuationSeparator" w:id="0">
    <w:p w:rsidR="00C002D8" w:rsidRDefault="00C002D8"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AC9" w:rsidRPr="00D16257" w:rsidRDefault="00FD4AC9"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FD4AC9" w:rsidRDefault="00FD4AC9">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Pr="00A35752">
                      <w:rPr>
                        <w:rFonts w:asciiTheme="minorHAnsi" w:eastAsiaTheme="minorEastAsia" w:hAnsiTheme="minorHAnsi" w:cstheme="minorBidi"/>
                        <w:szCs w:val="21"/>
                      </w:rPr>
                      <w:fldChar w:fldCharType="begin"/>
                    </w:r>
                    <w:r>
                      <w:instrText>PAGE    \* MERGEFORMAT</w:instrText>
                    </w:r>
                    <w:r w:rsidRPr="00A35752">
                      <w:rPr>
                        <w:rFonts w:asciiTheme="minorHAnsi" w:eastAsiaTheme="minorEastAsia" w:hAnsiTheme="minorHAnsi" w:cstheme="minorBidi"/>
                        <w:szCs w:val="21"/>
                      </w:rPr>
                      <w:fldChar w:fldCharType="separate"/>
                    </w:r>
                    <w:r w:rsidR="00AA6FDF" w:rsidRPr="00AA6FDF">
                      <w:rPr>
                        <w:rFonts w:asciiTheme="majorHAnsi" w:eastAsiaTheme="majorEastAsia" w:hAnsiTheme="majorHAnsi" w:cstheme="majorBidi"/>
                        <w:noProof/>
                        <w:sz w:val="44"/>
                        <w:szCs w:val="44"/>
                      </w:rPr>
                      <w:t>23</w:t>
                    </w:r>
                    <w:r>
                      <w:rPr>
                        <w:rFonts w:asciiTheme="majorHAnsi" w:eastAsiaTheme="majorEastAsia" w:hAnsiTheme="majorHAnsi" w:cstheme="majorBidi"/>
                        <w:sz w:val="44"/>
                        <w:szCs w:val="44"/>
                      </w:rPr>
                      <w:fldChar w:fldCharType="end"/>
                    </w:r>
                  </w:p>
                </w:txbxContent>
              </v:textbox>
              <w10:wrap anchorx="margin" anchory="margin"/>
            </v:rect>
          </w:pict>
        </w:r>
      </w:sdtContent>
    </w:sdt>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28002"/>
    <o:shapelayout v:ext="edit">
      <o:idmap v:ext="edit" data="23"/>
    </o:shapelayout>
  </w:hdrShapeDefaults>
  <w:footnotePr>
    <w:footnote w:id="-1"/>
    <w:footnote w:id="0"/>
  </w:footnotePr>
  <w:endnotePr>
    <w:endnote w:id="-1"/>
    <w:endnote w:id="0"/>
  </w:endnotePr>
  <w:compat/>
  <w:rsids>
    <w:rsidRoot w:val="00D16257"/>
    <w:rsid w:val="00004E3D"/>
    <w:rsid w:val="00010387"/>
    <w:rsid w:val="0001501A"/>
    <w:rsid w:val="000159B2"/>
    <w:rsid w:val="000241E0"/>
    <w:rsid w:val="0003061B"/>
    <w:rsid w:val="00031EDC"/>
    <w:rsid w:val="00036FB6"/>
    <w:rsid w:val="00044F25"/>
    <w:rsid w:val="00046CBA"/>
    <w:rsid w:val="00047174"/>
    <w:rsid w:val="00051C9C"/>
    <w:rsid w:val="00056CFA"/>
    <w:rsid w:val="000618DE"/>
    <w:rsid w:val="0007249E"/>
    <w:rsid w:val="00097A90"/>
    <w:rsid w:val="000A66CA"/>
    <w:rsid w:val="000B59B7"/>
    <w:rsid w:val="000B6160"/>
    <w:rsid w:val="000B6C1D"/>
    <w:rsid w:val="000C0324"/>
    <w:rsid w:val="000C3D9A"/>
    <w:rsid w:val="000C3EEC"/>
    <w:rsid w:val="000D3B59"/>
    <w:rsid w:val="000D564A"/>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E014B"/>
    <w:rsid w:val="001F59CE"/>
    <w:rsid w:val="001F660F"/>
    <w:rsid w:val="001F7F2E"/>
    <w:rsid w:val="0021252F"/>
    <w:rsid w:val="00220B76"/>
    <w:rsid w:val="0022328C"/>
    <w:rsid w:val="002457B5"/>
    <w:rsid w:val="00252119"/>
    <w:rsid w:val="00254443"/>
    <w:rsid w:val="002726CC"/>
    <w:rsid w:val="002728B3"/>
    <w:rsid w:val="0027318C"/>
    <w:rsid w:val="00273534"/>
    <w:rsid w:val="00290E40"/>
    <w:rsid w:val="00293701"/>
    <w:rsid w:val="002A5C36"/>
    <w:rsid w:val="002B251E"/>
    <w:rsid w:val="002B511B"/>
    <w:rsid w:val="002C22B6"/>
    <w:rsid w:val="002D0099"/>
    <w:rsid w:val="002D2502"/>
    <w:rsid w:val="002D262E"/>
    <w:rsid w:val="002E5572"/>
    <w:rsid w:val="002F31BC"/>
    <w:rsid w:val="002F61DF"/>
    <w:rsid w:val="003000E7"/>
    <w:rsid w:val="0030390C"/>
    <w:rsid w:val="00314EA1"/>
    <w:rsid w:val="00315F68"/>
    <w:rsid w:val="003202E2"/>
    <w:rsid w:val="003249B8"/>
    <w:rsid w:val="0033141A"/>
    <w:rsid w:val="003473BD"/>
    <w:rsid w:val="003621FE"/>
    <w:rsid w:val="00370BD9"/>
    <w:rsid w:val="00373207"/>
    <w:rsid w:val="00381EDC"/>
    <w:rsid w:val="00397759"/>
    <w:rsid w:val="003A6416"/>
    <w:rsid w:val="003A6AFB"/>
    <w:rsid w:val="003A7B43"/>
    <w:rsid w:val="003C5923"/>
    <w:rsid w:val="003C708B"/>
    <w:rsid w:val="003C7B8D"/>
    <w:rsid w:val="003D0A77"/>
    <w:rsid w:val="003D0CB3"/>
    <w:rsid w:val="003F19E6"/>
    <w:rsid w:val="003F4E6C"/>
    <w:rsid w:val="00402576"/>
    <w:rsid w:val="0040324D"/>
    <w:rsid w:val="0040404C"/>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0F10"/>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910"/>
    <w:rsid w:val="00595E3D"/>
    <w:rsid w:val="005977AB"/>
    <w:rsid w:val="005A4522"/>
    <w:rsid w:val="005B349F"/>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8641A"/>
    <w:rsid w:val="006914DC"/>
    <w:rsid w:val="006A2503"/>
    <w:rsid w:val="006A479C"/>
    <w:rsid w:val="006B172D"/>
    <w:rsid w:val="006B36A1"/>
    <w:rsid w:val="006C74DD"/>
    <w:rsid w:val="006E2C85"/>
    <w:rsid w:val="006E41C5"/>
    <w:rsid w:val="006E5166"/>
    <w:rsid w:val="006F2D5E"/>
    <w:rsid w:val="006F5990"/>
    <w:rsid w:val="00700003"/>
    <w:rsid w:val="0071176B"/>
    <w:rsid w:val="007213DF"/>
    <w:rsid w:val="00733CA6"/>
    <w:rsid w:val="007369D9"/>
    <w:rsid w:val="00742720"/>
    <w:rsid w:val="00747AC4"/>
    <w:rsid w:val="00760837"/>
    <w:rsid w:val="00760E31"/>
    <w:rsid w:val="007621B7"/>
    <w:rsid w:val="007742DD"/>
    <w:rsid w:val="007806E1"/>
    <w:rsid w:val="007838CA"/>
    <w:rsid w:val="00785D2A"/>
    <w:rsid w:val="007916FF"/>
    <w:rsid w:val="007A7603"/>
    <w:rsid w:val="007B0823"/>
    <w:rsid w:val="007B1F31"/>
    <w:rsid w:val="007B3BE6"/>
    <w:rsid w:val="007B66E4"/>
    <w:rsid w:val="007C4DEA"/>
    <w:rsid w:val="007C5CC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50C13"/>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1285"/>
    <w:rsid w:val="008E3CF7"/>
    <w:rsid w:val="008E6414"/>
    <w:rsid w:val="0090569E"/>
    <w:rsid w:val="00912F9D"/>
    <w:rsid w:val="009155D2"/>
    <w:rsid w:val="00921261"/>
    <w:rsid w:val="00923E1F"/>
    <w:rsid w:val="00925E96"/>
    <w:rsid w:val="0092677D"/>
    <w:rsid w:val="009319BC"/>
    <w:rsid w:val="0093448C"/>
    <w:rsid w:val="00953D88"/>
    <w:rsid w:val="00956145"/>
    <w:rsid w:val="00974F16"/>
    <w:rsid w:val="00984EEA"/>
    <w:rsid w:val="00985AB5"/>
    <w:rsid w:val="00996679"/>
    <w:rsid w:val="009A7861"/>
    <w:rsid w:val="009B2090"/>
    <w:rsid w:val="009B427E"/>
    <w:rsid w:val="009B6964"/>
    <w:rsid w:val="009C4125"/>
    <w:rsid w:val="009D0556"/>
    <w:rsid w:val="009D070A"/>
    <w:rsid w:val="009D4AE1"/>
    <w:rsid w:val="009E01BB"/>
    <w:rsid w:val="009E6FDD"/>
    <w:rsid w:val="009F1B62"/>
    <w:rsid w:val="009F5671"/>
    <w:rsid w:val="00A2083A"/>
    <w:rsid w:val="00A35752"/>
    <w:rsid w:val="00A37E4B"/>
    <w:rsid w:val="00A56DE8"/>
    <w:rsid w:val="00A7005B"/>
    <w:rsid w:val="00A71D23"/>
    <w:rsid w:val="00A77960"/>
    <w:rsid w:val="00A850E2"/>
    <w:rsid w:val="00A861E5"/>
    <w:rsid w:val="00A93070"/>
    <w:rsid w:val="00A93D99"/>
    <w:rsid w:val="00AA6FDF"/>
    <w:rsid w:val="00AC0BC6"/>
    <w:rsid w:val="00AC0EDF"/>
    <w:rsid w:val="00AC2FB2"/>
    <w:rsid w:val="00AC32B9"/>
    <w:rsid w:val="00AE2B7C"/>
    <w:rsid w:val="00AE6440"/>
    <w:rsid w:val="00B004F1"/>
    <w:rsid w:val="00B10E53"/>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E4B43"/>
    <w:rsid w:val="00BF0EF7"/>
    <w:rsid w:val="00C002D8"/>
    <w:rsid w:val="00C03211"/>
    <w:rsid w:val="00C1296E"/>
    <w:rsid w:val="00C1535D"/>
    <w:rsid w:val="00C20C7D"/>
    <w:rsid w:val="00C36763"/>
    <w:rsid w:val="00C47103"/>
    <w:rsid w:val="00C55300"/>
    <w:rsid w:val="00C71244"/>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3050"/>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39A"/>
    <w:rsid w:val="00E62878"/>
    <w:rsid w:val="00E639BE"/>
    <w:rsid w:val="00E65C62"/>
    <w:rsid w:val="00E71008"/>
    <w:rsid w:val="00E75CD3"/>
    <w:rsid w:val="00E813A9"/>
    <w:rsid w:val="00E85955"/>
    <w:rsid w:val="00EA4716"/>
    <w:rsid w:val="00EA479C"/>
    <w:rsid w:val="00EB6114"/>
    <w:rsid w:val="00EB63DE"/>
    <w:rsid w:val="00ED591E"/>
    <w:rsid w:val="00EE56A3"/>
    <w:rsid w:val="00EE69CD"/>
    <w:rsid w:val="00EF2812"/>
    <w:rsid w:val="00EF6545"/>
    <w:rsid w:val="00F0252C"/>
    <w:rsid w:val="00F0485F"/>
    <w:rsid w:val="00F07C61"/>
    <w:rsid w:val="00F11DDB"/>
    <w:rsid w:val="00F20C23"/>
    <w:rsid w:val="00F20C58"/>
    <w:rsid w:val="00F27875"/>
    <w:rsid w:val="00F342C2"/>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4AC9"/>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380E0-13EB-46FA-9339-A835DF9A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23392</TotalTime>
  <Pages>1</Pages>
  <Words>10692</Words>
  <Characters>57738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152</cp:revision>
  <cp:lastPrinted>2019-04-04T19:09:00Z</cp:lastPrinted>
  <dcterms:created xsi:type="dcterms:W3CDTF">2017-07-25T12:38:00Z</dcterms:created>
  <dcterms:modified xsi:type="dcterms:W3CDTF">2019-04-04T19:13:00Z</dcterms:modified>
</cp:coreProperties>
</file>